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3F783" w14:textId="77777777" w:rsidR="00743B85" w:rsidRDefault="00000000">
      <w:pPr>
        <w:jc w:val="center"/>
      </w:pPr>
      <w:r>
        <w:rPr>
          <w:b/>
        </w:rPr>
        <w:t>SERVICE TARIFFS</w:t>
      </w:r>
    </w:p>
    <w:p w14:paraId="41DB10D1" w14:textId="77777777" w:rsidR="00743B85" w:rsidRDefault="00000000">
      <w:pPr>
        <w:jc w:val="center"/>
      </w:pPr>
      <w:r>
        <w:rPr>
          <w:b/>
        </w:rPr>
        <w:t>CONVENTIONAL FREIGHT TERMINAL</w:t>
      </w:r>
    </w:p>
    <w:p w14:paraId="0C20EC8F" w14:textId="77777777" w:rsidR="00743B85" w:rsidRDefault="00743B85"/>
    <w:p w14:paraId="661FDA20" w14:textId="77777777" w:rsidR="00743B85" w:rsidRDefault="00000000">
      <w:pPr>
        <w:pStyle w:val="Heading1"/>
      </w:pPr>
      <w:r>
        <w:t>DEFINITIONS AND TERMS</w:t>
      </w:r>
    </w:p>
    <w:p w14:paraId="6EFFF5F5" w14:textId="77777777" w:rsidR="00743B85" w:rsidRDefault="00000000">
      <w:r>
        <w:t>This document defines the charges payable to DEPPATHE for the use of services and facilities relating to cargo handling management at the Railway Station of the Business Park of Thessaloniki (</w:t>
      </w:r>
      <w:proofErr w:type="spellStart"/>
      <w:r>
        <w:t>EPPAThE</w:t>
      </w:r>
      <w:proofErr w:type="spellEnd"/>
      <w:r>
        <w:t>).</w:t>
      </w:r>
    </w:p>
    <w:p w14:paraId="6C8BAD44" w14:textId="77777777" w:rsidR="00743B85" w:rsidRDefault="00000000">
      <w:pPr>
        <w:pStyle w:val="Heading1"/>
      </w:pPr>
      <w:r>
        <w:t>1. DEFINITIONS</w:t>
      </w:r>
    </w:p>
    <w:p w14:paraId="4582EDE2" w14:textId="77777777" w:rsidR="00743B85" w:rsidRPr="00D85F56" w:rsidRDefault="00000000">
      <w:pPr>
        <w:rPr>
          <w:b/>
          <w:bCs/>
        </w:rPr>
      </w:pPr>
      <w:r w:rsidRPr="00D85F56">
        <w:rPr>
          <w:b/>
          <w:bCs/>
        </w:rPr>
        <w:t>1.1 The definitions set out in the General Terms, Chapter 1, Article 1 shall apply.</w:t>
      </w:r>
    </w:p>
    <w:p w14:paraId="4AECCB65" w14:textId="77777777" w:rsidR="00743B85" w:rsidRDefault="00000000">
      <w:pPr>
        <w:pStyle w:val="Heading1"/>
      </w:pPr>
      <w:r>
        <w:t>2. APPLICATION</w:t>
      </w:r>
    </w:p>
    <w:p w14:paraId="7943C8CA" w14:textId="77777777" w:rsidR="00743B85" w:rsidRDefault="00000000">
      <w:r w:rsidRPr="00D85F56">
        <w:rPr>
          <w:b/>
          <w:bCs/>
        </w:rPr>
        <w:t>2.1 CHARGES</w:t>
      </w:r>
      <w:r>
        <w:t>: The charges applied by DEPPATHE to Customers for Services or Facilities provided by it fall into the following categories:</w:t>
      </w:r>
    </w:p>
    <w:p w14:paraId="387AEB30" w14:textId="77777777" w:rsidR="00743B85" w:rsidRDefault="00000000">
      <w:pPr>
        <w:pStyle w:val="ListBullet"/>
      </w:pPr>
      <w:r>
        <w:t>CHARGE 1: Use of Railway Infrastructure (Documentation fee)</w:t>
      </w:r>
    </w:p>
    <w:p w14:paraId="5E9D6960" w14:textId="77777777" w:rsidR="00743B85" w:rsidRDefault="00000000">
      <w:pPr>
        <w:pStyle w:val="ListBullet"/>
      </w:pPr>
      <w:r>
        <w:t>CHARGE 2: Storage Services (Storage fee)</w:t>
      </w:r>
    </w:p>
    <w:p w14:paraId="57E07904" w14:textId="77777777" w:rsidR="00743B85" w:rsidRDefault="00000000">
      <w:pPr>
        <w:pStyle w:val="ListBullet"/>
      </w:pPr>
      <w:r>
        <w:t>CHARGE 3: DELAYS / CANCELLATION OF OPERATION</w:t>
      </w:r>
    </w:p>
    <w:p w14:paraId="598F72EE" w14:textId="77777777" w:rsidR="00743B85" w:rsidRDefault="00000000">
      <w:pPr>
        <w:pStyle w:val="ListBullet"/>
      </w:pPr>
      <w:r>
        <w:t>CHARGE 4: OTHER CHARGES (e.g., additional video recording, guarding, chemical toilets, etc.)</w:t>
      </w:r>
    </w:p>
    <w:p w14:paraId="6F39048D" w14:textId="77777777" w:rsidR="00743B85" w:rsidRPr="00D85F56" w:rsidRDefault="00000000">
      <w:pPr>
        <w:rPr>
          <w:b/>
          <w:bCs/>
        </w:rPr>
      </w:pPr>
      <w:r w:rsidRPr="00D85F56">
        <w:rPr>
          <w:b/>
          <w:bCs/>
        </w:rPr>
        <w:t>2.2 DISCOUNTS / SURCHARGES</w:t>
      </w:r>
    </w:p>
    <w:p w14:paraId="79708B3B" w14:textId="77777777" w:rsidR="00743B85" w:rsidRDefault="00000000">
      <w:r>
        <w:t xml:space="preserve">For companies installed within </w:t>
      </w:r>
      <w:proofErr w:type="spellStart"/>
      <w:r>
        <w:t>EPPAThE</w:t>
      </w:r>
      <w:proofErr w:type="spellEnd"/>
      <w:r>
        <w:t xml:space="preserve"> (EIP), a flat discount of 25% applies to all services provided.</w:t>
      </w:r>
    </w:p>
    <w:p w14:paraId="6D9A59EE" w14:textId="77777777" w:rsidR="00743B85" w:rsidRDefault="00000000">
      <w:r>
        <w:t>Pricing for regular use (e.g., on an annual basis) of the infrastructure/services will be determined on a case-by-case basis and will depend on whether the use concerns an EIP or third parties.</w:t>
      </w:r>
    </w:p>
    <w:p w14:paraId="5578F745" w14:textId="77777777" w:rsidR="00743B85" w:rsidRDefault="00000000">
      <w:r>
        <w:t>Each request is handled ad hoc, using as a reference the charges stated herein, due to the high diversity of cargo types and the requirements of industrial transport operations.</w:t>
      </w:r>
    </w:p>
    <w:p w14:paraId="1CB2FCFE" w14:textId="77777777" w:rsidR="00743B85" w:rsidRDefault="00000000">
      <w:r>
        <w:t>For special cargo not included in this tariff, or for special uses, the applicable charge will be determined case-by-case by Management.</w:t>
      </w:r>
    </w:p>
    <w:p w14:paraId="19A05778" w14:textId="77777777" w:rsidR="00743B85" w:rsidRDefault="00000000">
      <w:r>
        <w:lastRenderedPageBreak/>
        <w:t>In any case, containers (E/C) with dangerous goods (RID) shall be charged the corresponding loading/unloading and storage amounts as follows:</w:t>
      </w:r>
    </w:p>
    <w:p w14:paraId="4B37ACFD" w14:textId="77777777" w:rsidR="00D85F56" w:rsidRDefault="00D85F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743B85" w14:paraId="23910F3D" w14:textId="77777777" w:rsidTr="007129CA">
        <w:tc>
          <w:tcPr>
            <w:tcW w:w="4320" w:type="dxa"/>
          </w:tcPr>
          <w:p w14:paraId="37485D1A" w14:textId="77777777" w:rsidR="00743B85" w:rsidRPr="00D85F56" w:rsidRDefault="00000000">
            <w:pPr>
              <w:rPr>
                <w:b/>
                <w:bCs/>
              </w:rPr>
            </w:pPr>
            <w:r w:rsidRPr="00D85F56">
              <w:rPr>
                <w:b/>
                <w:bCs/>
              </w:rPr>
              <w:t>Cargo category</w:t>
            </w:r>
          </w:p>
        </w:tc>
        <w:tc>
          <w:tcPr>
            <w:tcW w:w="4320" w:type="dxa"/>
          </w:tcPr>
          <w:p w14:paraId="6E28855C" w14:textId="77777777" w:rsidR="00743B85" w:rsidRPr="00D85F56" w:rsidRDefault="00000000">
            <w:pPr>
              <w:rPr>
                <w:b/>
                <w:bCs/>
              </w:rPr>
            </w:pPr>
            <w:r w:rsidRPr="00D85F56">
              <w:rPr>
                <w:b/>
                <w:bCs/>
              </w:rPr>
              <w:t>Surcharge</w:t>
            </w:r>
          </w:p>
        </w:tc>
      </w:tr>
      <w:tr w:rsidR="00743B85" w14:paraId="4FA68BCB" w14:textId="77777777" w:rsidTr="007129CA">
        <w:tc>
          <w:tcPr>
            <w:tcW w:w="4320" w:type="dxa"/>
          </w:tcPr>
          <w:p w14:paraId="0F025188" w14:textId="77777777" w:rsidR="00743B85" w:rsidRDefault="00000000">
            <w:r>
              <w:t>RID classes 1 to 9</w:t>
            </w:r>
          </w:p>
        </w:tc>
        <w:tc>
          <w:tcPr>
            <w:tcW w:w="4320" w:type="dxa"/>
          </w:tcPr>
          <w:p w14:paraId="66FE94FD" w14:textId="77777777" w:rsidR="00743B85" w:rsidRDefault="00000000">
            <w:r>
              <w:t>2x surcharge</w:t>
            </w:r>
          </w:p>
        </w:tc>
      </w:tr>
      <w:tr w:rsidR="00743B85" w14:paraId="13D4CD4D" w14:textId="77777777" w:rsidTr="007129CA">
        <w:tc>
          <w:tcPr>
            <w:tcW w:w="4320" w:type="dxa"/>
          </w:tcPr>
          <w:p w14:paraId="434DDB70" w14:textId="77777777" w:rsidR="00743B85" w:rsidRDefault="00000000">
            <w:r>
              <w:t>Waste</w:t>
            </w:r>
          </w:p>
        </w:tc>
        <w:tc>
          <w:tcPr>
            <w:tcW w:w="4320" w:type="dxa"/>
          </w:tcPr>
          <w:p w14:paraId="1CE838B9" w14:textId="77777777" w:rsidR="00743B85" w:rsidRDefault="00000000">
            <w:r>
              <w:t>2.5x surcharge</w:t>
            </w:r>
          </w:p>
        </w:tc>
      </w:tr>
    </w:tbl>
    <w:p w14:paraId="65D4D05F" w14:textId="77777777" w:rsidR="00743B85" w:rsidRDefault="00743B85"/>
    <w:p w14:paraId="304ABEB4" w14:textId="77777777" w:rsidR="00743B85" w:rsidRPr="00D85F56" w:rsidRDefault="00000000">
      <w:pPr>
        <w:rPr>
          <w:b/>
          <w:bCs/>
        </w:rPr>
      </w:pPr>
      <w:r w:rsidRPr="00D85F56">
        <w:rPr>
          <w:b/>
          <w:bCs/>
        </w:rPr>
        <w:t>2.3 RECORDING OF DATA</w:t>
      </w:r>
    </w:p>
    <w:p w14:paraId="3E82D256" w14:textId="77777777" w:rsidR="00743B85" w:rsidRPr="00D85F56" w:rsidRDefault="00000000">
      <w:pPr>
        <w:rPr>
          <w:b/>
          <w:bCs/>
        </w:rPr>
      </w:pPr>
      <w:r w:rsidRPr="00D85F56">
        <w:rPr>
          <w:b/>
          <w:bCs/>
        </w:rPr>
        <w:t>2.3.1 For train movements, the following data shall be recorded: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80"/>
        <w:gridCol w:w="1080"/>
        <w:gridCol w:w="1080"/>
        <w:gridCol w:w="1080"/>
        <w:gridCol w:w="1080"/>
        <w:gridCol w:w="1080"/>
        <w:gridCol w:w="1080"/>
      </w:tblGrid>
      <w:tr w:rsidR="00743B85" w14:paraId="550F5CA3" w14:textId="77777777" w:rsidTr="007129CA">
        <w:tc>
          <w:tcPr>
            <w:tcW w:w="1080" w:type="dxa"/>
          </w:tcPr>
          <w:p w14:paraId="3BCC0A01" w14:textId="77777777" w:rsidR="00743B85" w:rsidRDefault="00000000">
            <w:r>
              <w:t>Customer name</w:t>
            </w:r>
          </w:p>
        </w:tc>
        <w:tc>
          <w:tcPr>
            <w:tcW w:w="1080" w:type="dxa"/>
          </w:tcPr>
          <w:p w14:paraId="1DA89D42" w14:textId="77777777" w:rsidR="00743B85" w:rsidRDefault="00000000">
            <w:r>
              <w:t>Date of notice</w:t>
            </w:r>
          </w:p>
        </w:tc>
        <w:tc>
          <w:tcPr>
            <w:tcW w:w="1080" w:type="dxa"/>
          </w:tcPr>
          <w:p w14:paraId="68A5BF19" w14:textId="77777777" w:rsidR="00743B85" w:rsidRDefault="00000000">
            <w:r>
              <w:t>Type of cargo</w:t>
            </w:r>
          </w:p>
        </w:tc>
        <w:tc>
          <w:tcPr>
            <w:tcW w:w="1080" w:type="dxa"/>
          </w:tcPr>
          <w:p w14:paraId="39A0FEEB" w14:textId="77777777" w:rsidR="00743B85" w:rsidRDefault="00000000">
            <w:r>
              <w:t>Number and type of wagons</w:t>
            </w:r>
          </w:p>
        </w:tc>
        <w:tc>
          <w:tcPr>
            <w:tcW w:w="1080" w:type="dxa"/>
          </w:tcPr>
          <w:p w14:paraId="7060593B" w14:textId="77777777" w:rsidR="00743B85" w:rsidRDefault="00000000">
            <w:r>
              <w:t>Platform number</w:t>
            </w:r>
          </w:p>
        </w:tc>
        <w:tc>
          <w:tcPr>
            <w:tcW w:w="1080" w:type="dxa"/>
          </w:tcPr>
          <w:p w14:paraId="3B4C20CC" w14:textId="77777777" w:rsidR="00743B85" w:rsidRDefault="00000000">
            <w:r>
              <w:t>Time of entry</w:t>
            </w:r>
          </w:p>
        </w:tc>
        <w:tc>
          <w:tcPr>
            <w:tcW w:w="1080" w:type="dxa"/>
          </w:tcPr>
          <w:p w14:paraId="72930F64" w14:textId="77777777" w:rsidR="00743B85" w:rsidRDefault="00000000">
            <w:r>
              <w:t>Time of exit</w:t>
            </w:r>
          </w:p>
        </w:tc>
        <w:tc>
          <w:tcPr>
            <w:tcW w:w="1080" w:type="dxa"/>
          </w:tcPr>
          <w:p w14:paraId="0EC27501" w14:textId="77777777" w:rsidR="00743B85" w:rsidRDefault="00000000">
            <w:r>
              <w:t>Remarks</w:t>
            </w:r>
          </w:p>
        </w:tc>
      </w:tr>
      <w:tr w:rsidR="00743B85" w14:paraId="1C179F81" w14:textId="77777777" w:rsidTr="007129CA">
        <w:tc>
          <w:tcPr>
            <w:tcW w:w="1080" w:type="dxa"/>
          </w:tcPr>
          <w:p w14:paraId="4961B8AC" w14:textId="77777777" w:rsidR="00743B85" w:rsidRDefault="00743B85"/>
        </w:tc>
        <w:tc>
          <w:tcPr>
            <w:tcW w:w="1080" w:type="dxa"/>
          </w:tcPr>
          <w:p w14:paraId="44F6880F" w14:textId="77777777" w:rsidR="00743B85" w:rsidRDefault="00743B85"/>
        </w:tc>
        <w:tc>
          <w:tcPr>
            <w:tcW w:w="1080" w:type="dxa"/>
          </w:tcPr>
          <w:p w14:paraId="40CE7EAB" w14:textId="77777777" w:rsidR="00743B85" w:rsidRDefault="00743B85"/>
        </w:tc>
        <w:tc>
          <w:tcPr>
            <w:tcW w:w="1080" w:type="dxa"/>
          </w:tcPr>
          <w:p w14:paraId="4CDE2A15" w14:textId="77777777" w:rsidR="00743B85" w:rsidRDefault="00743B85"/>
        </w:tc>
        <w:tc>
          <w:tcPr>
            <w:tcW w:w="1080" w:type="dxa"/>
          </w:tcPr>
          <w:p w14:paraId="020137CE" w14:textId="77777777" w:rsidR="00743B85" w:rsidRDefault="00743B85"/>
        </w:tc>
        <w:tc>
          <w:tcPr>
            <w:tcW w:w="1080" w:type="dxa"/>
          </w:tcPr>
          <w:p w14:paraId="03C69AF4" w14:textId="77777777" w:rsidR="00743B85" w:rsidRDefault="00743B85"/>
        </w:tc>
        <w:tc>
          <w:tcPr>
            <w:tcW w:w="1080" w:type="dxa"/>
          </w:tcPr>
          <w:p w14:paraId="75333032" w14:textId="77777777" w:rsidR="00743B85" w:rsidRDefault="00743B85"/>
        </w:tc>
        <w:tc>
          <w:tcPr>
            <w:tcW w:w="1080" w:type="dxa"/>
          </w:tcPr>
          <w:p w14:paraId="47CCEFC8" w14:textId="77777777" w:rsidR="00743B85" w:rsidRDefault="00743B85"/>
        </w:tc>
      </w:tr>
    </w:tbl>
    <w:p w14:paraId="514ED527" w14:textId="77777777" w:rsidR="00743B85" w:rsidRPr="00D85F56" w:rsidRDefault="00000000">
      <w:pPr>
        <w:rPr>
          <w:b/>
          <w:bCs/>
        </w:rPr>
      </w:pPr>
      <w:r w:rsidRPr="00D85F56">
        <w:rPr>
          <w:b/>
          <w:bCs/>
        </w:rPr>
        <w:t>For stored containers, the following data shall be recorded: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909"/>
        <w:gridCol w:w="850"/>
        <w:gridCol w:w="1097"/>
        <w:gridCol w:w="1097"/>
        <w:gridCol w:w="945"/>
        <w:gridCol w:w="928"/>
        <w:gridCol w:w="954"/>
        <w:gridCol w:w="989"/>
      </w:tblGrid>
      <w:tr w:rsidR="00743B85" w14:paraId="7CE6D252" w14:textId="77777777" w:rsidTr="007129CA">
        <w:tc>
          <w:tcPr>
            <w:tcW w:w="960" w:type="dxa"/>
          </w:tcPr>
          <w:p w14:paraId="58542956" w14:textId="77777777" w:rsidR="00743B85" w:rsidRDefault="00000000">
            <w:r>
              <w:t>Customer name</w:t>
            </w:r>
          </w:p>
        </w:tc>
        <w:tc>
          <w:tcPr>
            <w:tcW w:w="960" w:type="dxa"/>
          </w:tcPr>
          <w:p w14:paraId="2FC29EDC" w14:textId="77777777" w:rsidR="00743B85" w:rsidRDefault="00000000">
            <w:r>
              <w:t>Date of receipt</w:t>
            </w:r>
          </w:p>
        </w:tc>
        <w:tc>
          <w:tcPr>
            <w:tcW w:w="960" w:type="dxa"/>
          </w:tcPr>
          <w:p w14:paraId="585536DC" w14:textId="77777777" w:rsidR="00743B85" w:rsidRDefault="00000000">
            <w:r>
              <w:t>Type of cargo</w:t>
            </w:r>
          </w:p>
        </w:tc>
        <w:tc>
          <w:tcPr>
            <w:tcW w:w="960" w:type="dxa"/>
          </w:tcPr>
          <w:p w14:paraId="58268710" w14:textId="77777777" w:rsidR="00743B85" w:rsidRDefault="00000000">
            <w:r>
              <w:t>Container type</w:t>
            </w:r>
          </w:p>
        </w:tc>
        <w:tc>
          <w:tcPr>
            <w:tcW w:w="960" w:type="dxa"/>
          </w:tcPr>
          <w:p w14:paraId="5918554A" w14:textId="77777777" w:rsidR="00743B85" w:rsidRDefault="00000000">
            <w:r>
              <w:t>Container number</w:t>
            </w:r>
          </w:p>
        </w:tc>
        <w:tc>
          <w:tcPr>
            <w:tcW w:w="960" w:type="dxa"/>
          </w:tcPr>
          <w:p w14:paraId="158CE7FA" w14:textId="77777777" w:rsidR="00743B85" w:rsidRDefault="00000000">
            <w:r>
              <w:t>Slot number</w:t>
            </w:r>
          </w:p>
        </w:tc>
        <w:tc>
          <w:tcPr>
            <w:tcW w:w="960" w:type="dxa"/>
          </w:tcPr>
          <w:p w14:paraId="59AC3178" w14:textId="77777777" w:rsidR="00743B85" w:rsidRDefault="00000000">
            <w:r>
              <w:t>Receipt time</w:t>
            </w:r>
          </w:p>
        </w:tc>
        <w:tc>
          <w:tcPr>
            <w:tcW w:w="960" w:type="dxa"/>
          </w:tcPr>
          <w:p w14:paraId="3DF2A5A8" w14:textId="77777777" w:rsidR="00743B85" w:rsidRDefault="00000000">
            <w:r>
              <w:t>Delivery time</w:t>
            </w:r>
          </w:p>
        </w:tc>
        <w:tc>
          <w:tcPr>
            <w:tcW w:w="960" w:type="dxa"/>
          </w:tcPr>
          <w:p w14:paraId="20C9E870" w14:textId="77777777" w:rsidR="00743B85" w:rsidRDefault="00000000">
            <w:r>
              <w:t>Remarks</w:t>
            </w:r>
          </w:p>
        </w:tc>
      </w:tr>
      <w:tr w:rsidR="00743B85" w14:paraId="2EFF8A4D" w14:textId="77777777" w:rsidTr="007129CA">
        <w:tc>
          <w:tcPr>
            <w:tcW w:w="960" w:type="dxa"/>
          </w:tcPr>
          <w:p w14:paraId="3E1F987D" w14:textId="77777777" w:rsidR="00743B85" w:rsidRDefault="00743B85"/>
        </w:tc>
        <w:tc>
          <w:tcPr>
            <w:tcW w:w="960" w:type="dxa"/>
          </w:tcPr>
          <w:p w14:paraId="5D29C142" w14:textId="77777777" w:rsidR="00743B85" w:rsidRDefault="00743B85"/>
        </w:tc>
        <w:tc>
          <w:tcPr>
            <w:tcW w:w="960" w:type="dxa"/>
          </w:tcPr>
          <w:p w14:paraId="25E7F69E" w14:textId="77777777" w:rsidR="00743B85" w:rsidRDefault="00743B85"/>
        </w:tc>
        <w:tc>
          <w:tcPr>
            <w:tcW w:w="960" w:type="dxa"/>
          </w:tcPr>
          <w:p w14:paraId="4EECC59E" w14:textId="77777777" w:rsidR="00743B85" w:rsidRDefault="00743B85"/>
        </w:tc>
        <w:tc>
          <w:tcPr>
            <w:tcW w:w="960" w:type="dxa"/>
          </w:tcPr>
          <w:p w14:paraId="6C661D68" w14:textId="77777777" w:rsidR="00743B85" w:rsidRDefault="00743B85"/>
        </w:tc>
        <w:tc>
          <w:tcPr>
            <w:tcW w:w="960" w:type="dxa"/>
          </w:tcPr>
          <w:p w14:paraId="248304E9" w14:textId="77777777" w:rsidR="00743B85" w:rsidRDefault="00743B85"/>
        </w:tc>
        <w:tc>
          <w:tcPr>
            <w:tcW w:w="960" w:type="dxa"/>
          </w:tcPr>
          <w:p w14:paraId="5160284C" w14:textId="77777777" w:rsidR="00743B85" w:rsidRDefault="00743B85"/>
        </w:tc>
        <w:tc>
          <w:tcPr>
            <w:tcW w:w="960" w:type="dxa"/>
          </w:tcPr>
          <w:p w14:paraId="70F6DAA7" w14:textId="77777777" w:rsidR="00743B85" w:rsidRDefault="00743B85"/>
        </w:tc>
        <w:tc>
          <w:tcPr>
            <w:tcW w:w="960" w:type="dxa"/>
          </w:tcPr>
          <w:p w14:paraId="492F19DA" w14:textId="77777777" w:rsidR="00743B85" w:rsidRDefault="00743B85"/>
        </w:tc>
      </w:tr>
    </w:tbl>
    <w:p w14:paraId="1C69781A" w14:textId="77777777" w:rsidR="00743B85" w:rsidRPr="00D85F56" w:rsidRDefault="00000000">
      <w:pPr>
        <w:rPr>
          <w:b/>
          <w:bCs/>
        </w:rPr>
      </w:pPr>
      <w:r w:rsidRPr="00D85F56">
        <w:rPr>
          <w:b/>
          <w:bCs/>
        </w:rPr>
        <w:t>For trucks that entered, the following data shall be recorded: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80"/>
        <w:gridCol w:w="1254"/>
        <w:gridCol w:w="1080"/>
        <w:gridCol w:w="1080"/>
        <w:gridCol w:w="1080"/>
        <w:gridCol w:w="1080"/>
        <w:gridCol w:w="1080"/>
      </w:tblGrid>
      <w:tr w:rsidR="00743B85" w14:paraId="7EEBE01B" w14:textId="77777777" w:rsidTr="007129CA">
        <w:tc>
          <w:tcPr>
            <w:tcW w:w="1080" w:type="dxa"/>
          </w:tcPr>
          <w:p w14:paraId="153145E7" w14:textId="77777777" w:rsidR="00743B85" w:rsidRDefault="00000000">
            <w:r>
              <w:t>Customer name</w:t>
            </w:r>
          </w:p>
        </w:tc>
        <w:tc>
          <w:tcPr>
            <w:tcW w:w="1080" w:type="dxa"/>
          </w:tcPr>
          <w:p w14:paraId="1E537B33" w14:textId="77777777" w:rsidR="00743B85" w:rsidRDefault="00000000">
            <w:r>
              <w:t>Carrier name</w:t>
            </w:r>
          </w:p>
        </w:tc>
        <w:tc>
          <w:tcPr>
            <w:tcW w:w="1080" w:type="dxa"/>
          </w:tcPr>
          <w:p w14:paraId="03AA038F" w14:textId="77777777" w:rsidR="00743B85" w:rsidRDefault="00000000">
            <w:r>
              <w:t>Vehicle registration number</w:t>
            </w:r>
          </w:p>
        </w:tc>
        <w:tc>
          <w:tcPr>
            <w:tcW w:w="1080" w:type="dxa"/>
          </w:tcPr>
          <w:p w14:paraId="2C5748FC" w14:textId="77777777" w:rsidR="00743B85" w:rsidRDefault="00000000">
            <w:r>
              <w:t>Driver name</w:t>
            </w:r>
          </w:p>
        </w:tc>
        <w:tc>
          <w:tcPr>
            <w:tcW w:w="1080" w:type="dxa"/>
          </w:tcPr>
          <w:p w14:paraId="2B97C2B1" w14:textId="77777777" w:rsidR="00743B85" w:rsidRDefault="00000000">
            <w:r>
              <w:t>Type of cargo</w:t>
            </w:r>
          </w:p>
        </w:tc>
        <w:tc>
          <w:tcPr>
            <w:tcW w:w="1080" w:type="dxa"/>
          </w:tcPr>
          <w:p w14:paraId="7814BD4A" w14:textId="77777777" w:rsidR="00743B85" w:rsidRDefault="00000000">
            <w:r>
              <w:t>Time of entry</w:t>
            </w:r>
          </w:p>
        </w:tc>
        <w:tc>
          <w:tcPr>
            <w:tcW w:w="1080" w:type="dxa"/>
          </w:tcPr>
          <w:p w14:paraId="4EAEBA8A" w14:textId="77777777" w:rsidR="00743B85" w:rsidRDefault="00000000">
            <w:r>
              <w:t>Time of exit</w:t>
            </w:r>
          </w:p>
        </w:tc>
        <w:tc>
          <w:tcPr>
            <w:tcW w:w="1080" w:type="dxa"/>
          </w:tcPr>
          <w:p w14:paraId="20372750" w14:textId="77777777" w:rsidR="00743B85" w:rsidRDefault="00000000">
            <w:r>
              <w:t>Remarks</w:t>
            </w:r>
          </w:p>
        </w:tc>
      </w:tr>
      <w:tr w:rsidR="00743B85" w14:paraId="587FDCFB" w14:textId="77777777" w:rsidTr="007129CA">
        <w:tc>
          <w:tcPr>
            <w:tcW w:w="1080" w:type="dxa"/>
          </w:tcPr>
          <w:p w14:paraId="3A0166EB" w14:textId="77777777" w:rsidR="00743B85" w:rsidRDefault="00743B85"/>
        </w:tc>
        <w:tc>
          <w:tcPr>
            <w:tcW w:w="1080" w:type="dxa"/>
          </w:tcPr>
          <w:p w14:paraId="62D609A1" w14:textId="77777777" w:rsidR="00743B85" w:rsidRDefault="00743B85"/>
        </w:tc>
        <w:tc>
          <w:tcPr>
            <w:tcW w:w="1080" w:type="dxa"/>
          </w:tcPr>
          <w:p w14:paraId="483C5189" w14:textId="77777777" w:rsidR="00743B85" w:rsidRDefault="00743B85"/>
        </w:tc>
        <w:tc>
          <w:tcPr>
            <w:tcW w:w="1080" w:type="dxa"/>
          </w:tcPr>
          <w:p w14:paraId="4D10CBC3" w14:textId="77777777" w:rsidR="00743B85" w:rsidRDefault="00743B85"/>
        </w:tc>
        <w:tc>
          <w:tcPr>
            <w:tcW w:w="1080" w:type="dxa"/>
          </w:tcPr>
          <w:p w14:paraId="1865CD43" w14:textId="77777777" w:rsidR="00743B85" w:rsidRDefault="00743B85"/>
        </w:tc>
        <w:tc>
          <w:tcPr>
            <w:tcW w:w="1080" w:type="dxa"/>
          </w:tcPr>
          <w:p w14:paraId="14803984" w14:textId="77777777" w:rsidR="00743B85" w:rsidRDefault="00743B85"/>
        </w:tc>
        <w:tc>
          <w:tcPr>
            <w:tcW w:w="1080" w:type="dxa"/>
          </w:tcPr>
          <w:p w14:paraId="162B3CF2" w14:textId="77777777" w:rsidR="00743B85" w:rsidRDefault="00743B85"/>
        </w:tc>
        <w:tc>
          <w:tcPr>
            <w:tcW w:w="1080" w:type="dxa"/>
          </w:tcPr>
          <w:p w14:paraId="13CDC80A" w14:textId="77777777" w:rsidR="00743B85" w:rsidRDefault="00743B85"/>
        </w:tc>
      </w:tr>
    </w:tbl>
    <w:p w14:paraId="3C4D6F9C" w14:textId="77777777" w:rsidR="00743B85" w:rsidRDefault="00000000">
      <w:pPr>
        <w:pStyle w:val="Heading1"/>
      </w:pPr>
      <w:r>
        <w:lastRenderedPageBreak/>
        <w:t>3. GENERAL</w:t>
      </w:r>
    </w:p>
    <w:p w14:paraId="01BF9921" w14:textId="77777777" w:rsidR="00743B85" w:rsidRDefault="00000000">
      <w:r>
        <w:t>3.1 Fees are calculated based on the cargo supporting documents such as transport documents, weighbridge tickets, customs documents, internal memoranda, etc.</w:t>
      </w:r>
    </w:p>
    <w:p w14:paraId="2E623838" w14:textId="77777777" w:rsidR="00743B85" w:rsidRDefault="00000000">
      <w:r>
        <w:t>3.2 The invoiced quantity is based on the train manifest or, in the case of direct unloading, on customs documents, the bill of lading, or the dispatch note.</w:t>
      </w:r>
    </w:p>
    <w:p w14:paraId="09137CCA" w14:textId="77777777" w:rsidR="00743B85" w:rsidRDefault="00000000">
      <w:r>
        <w:t xml:space="preserve">3.3 For cargo unloaded from a train and stored within </w:t>
      </w:r>
      <w:proofErr w:type="spellStart"/>
      <w:r>
        <w:t>EPPAThE</w:t>
      </w:r>
      <w:proofErr w:type="spellEnd"/>
      <w:r>
        <w:t>, storage fees are calculated starting from the day the unloading operations are completed, subject to the terms of Article 4.1.1.</w:t>
      </w:r>
    </w:p>
    <w:p w14:paraId="4BA6FD97" w14:textId="77777777" w:rsidR="00743B85" w:rsidRDefault="00000000">
      <w:r>
        <w:t xml:space="preserve">3.4 For cargo stored within </w:t>
      </w:r>
      <w:proofErr w:type="spellStart"/>
      <w:r>
        <w:t>EPPAThE</w:t>
      </w:r>
      <w:proofErr w:type="spellEnd"/>
      <w:r>
        <w:t xml:space="preserve"> that is loaded onto trains, storage fees are calculated up to and including the day loading operations commence, subject to Article 4.1.2.</w:t>
      </w:r>
    </w:p>
    <w:p w14:paraId="605B6A23" w14:textId="77777777" w:rsidR="00743B85" w:rsidRDefault="00000000">
      <w:r>
        <w:t>3.5 The first calendar day is deemed to be the day the cargo arrives at the loading/unloading area, irrespective of the time of arrival. Upon cargo exit, the loading/unloading day is not counted if operations are completed by 12:00 noon.</w:t>
      </w:r>
    </w:p>
    <w:p w14:paraId="2E03AA37" w14:textId="77777777" w:rsidR="00743B85" w:rsidRDefault="00000000">
      <w:r>
        <w:t xml:space="preserve">3.6 The minimum billable cargo quantity is one (1) metric </w:t>
      </w:r>
      <w:proofErr w:type="spellStart"/>
      <w:r>
        <w:t>tonne</w:t>
      </w:r>
      <w:proofErr w:type="spellEnd"/>
      <w:r>
        <w:t>.</w:t>
      </w:r>
    </w:p>
    <w:p w14:paraId="5DA5D03A" w14:textId="77777777" w:rsidR="00743B85" w:rsidRDefault="00000000">
      <w:r>
        <w:t>3.7 All charges defined in the individual Tariffs exclude VAT.</w:t>
      </w:r>
    </w:p>
    <w:p w14:paraId="3D322F84" w14:textId="77777777" w:rsidR="00743B85" w:rsidRDefault="00000000">
      <w:r>
        <w:t>3.8 Where more than one surcharge and/or discount applies to a cargo, their algebraic sum is applied to the base price.</w:t>
      </w:r>
    </w:p>
    <w:p w14:paraId="4955AAC0" w14:textId="77777777" w:rsidR="00743B85" w:rsidRDefault="00000000">
      <w:r>
        <w:t>3.9 Special cases of pricing per train: When, due to special conditions, service is agreed at a price per train, the agreed price per train is used as the charging base, to which surcharges are applied.</w:t>
      </w:r>
    </w:p>
    <w:p w14:paraId="768472BF" w14:textId="77777777" w:rsidR="00743B85" w:rsidRDefault="00000000">
      <w:r>
        <w:t>3.10 For stored cargo that is not moved by train, storage fees are calculated starting from the day the cargo is received at the loading/unloading area.</w:t>
      </w:r>
    </w:p>
    <w:p w14:paraId="5232F1E9" w14:textId="77777777" w:rsidR="00743B85" w:rsidRDefault="00000000">
      <w:r>
        <w:t>3.10 Services for cargo not referred to herein are charged case-by-case.</w:t>
      </w:r>
    </w:p>
    <w:p w14:paraId="07776079" w14:textId="77777777" w:rsidR="00743B85" w:rsidRDefault="00000000">
      <w:r>
        <w:t>3.11 DEPPATHE reserves the right to review and amend this tariff periodically, with one month’s notice for new services and two months’ notice for changes to prices of existing charges.</w:t>
      </w:r>
    </w:p>
    <w:p w14:paraId="09BCB9DB" w14:textId="77777777" w:rsidR="00743B85" w:rsidRDefault="00000000">
      <w:r>
        <w:t>3.12 The original text has been drafted in Greek and, in the event of conflict or inconsistency between the Greek and English versions, the Greek version shall prevail.</w:t>
      </w:r>
    </w:p>
    <w:p w14:paraId="2832CD5E" w14:textId="77777777" w:rsidR="00743B85" w:rsidRDefault="00000000">
      <w:r>
        <w:t>3.13 Acceptance of this tariff policy constitutes simultaneous acceptance of the General Terms and the Operating Regulation, which the Customer has acknowledged.</w:t>
      </w:r>
    </w:p>
    <w:p w14:paraId="3FFD5B93" w14:textId="77777777" w:rsidR="00743B85" w:rsidRDefault="00000000">
      <w:pPr>
        <w:pStyle w:val="Heading1"/>
      </w:pPr>
      <w:r>
        <w:lastRenderedPageBreak/>
        <w:t>4. SERVICE TARIFFS</w:t>
      </w:r>
    </w:p>
    <w:p w14:paraId="75AEFABA" w14:textId="77777777" w:rsidR="00743B85" w:rsidRPr="00D85F56" w:rsidRDefault="00000000">
      <w:pPr>
        <w:rPr>
          <w:b/>
          <w:bCs/>
        </w:rPr>
      </w:pPr>
      <w:r w:rsidRPr="00D85F56">
        <w:rPr>
          <w:b/>
          <w:bCs/>
        </w:rPr>
        <w:t>4.0 Common time concepts (for charging purposes)</w:t>
      </w:r>
    </w:p>
    <w:p w14:paraId="54D5BA17" w14:textId="77777777" w:rsidR="00743B85" w:rsidRDefault="00000000">
      <w:r>
        <w:t>Calendar day: For all charges calculated 'per calendar day', 'day' means the calendar date.</w:t>
      </w:r>
    </w:p>
    <w:p w14:paraId="2650DC66" w14:textId="77777777" w:rsidR="00743B85" w:rsidRDefault="00000000">
      <w:r>
        <w:t>Cut-off time 12:00:</w:t>
      </w:r>
    </w:p>
    <w:p w14:paraId="0723F8F2" w14:textId="77777777" w:rsidR="00743B85" w:rsidRDefault="00000000">
      <w:r>
        <w:t>If an action that terminates a charge (e.g., removal/delivery, completion of removal, etc.) takes place after 12:00, the respective date counts in full as a chargeable calendar day.</w:t>
      </w:r>
    </w:p>
    <w:p w14:paraId="0A11FEC2" w14:textId="77777777" w:rsidR="00743B85" w:rsidRDefault="00000000">
      <w:r>
        <w:t>Where it is stated that charging ceases 'at 12:00', after that time the next day is counted as a new chargeable calendar day.</w:t>
      </w:r>
    </w:p>
    <w:p w14:paraId="6F671DB5" w14:textId="77777777" w:rsidR="00743B85" w:rsidRDefault="00000000">
      <w:r>
        <w:t>Definition of a 'two (2) day' deadline (for loading/unloading): The deadline of two (2) calendar days is calculated from the arrival date as declared/recorded and expires at 12:00 on the date corresponding to the second (2nd) calendar day after the arrival date. After 12:00, the charges specified 'from the 3rd day' apply.</w:t>
      </w:r>
    </w:p>
    <w:p w14:paraId="61EBA2A9" w14:textId="77777777" w:rsidR="00743B85" w:rsidRDefault="00000000">
      <w:r>
        <w:t>Example: Arrival of a train on 1/6 ⇒ 1st day: 1/6, 2nd day: 2/6, deadline expiry: 3/6 at 12:00. From 3/6 after 12:00, charges 'from the 3rd day' apply.</w:t>
      </w:r>
    </w:p>
    <w:p w14:paraId="27CC1B9E" w14:textId="77777777" w:rsidR="00743B85" w:rsidRDefault="00000000">
      <w:pPr>
        <w:pStyle w:val="Heading2"/>
      </w:pPr>
      <w:r>
        <w:t>4.1 CHARGE 1</w:t>
      </w:r>
    </w:p>
    <w:p w14:paraId="5C4C374A" w14:textId="77777777" w:rsidR="00743B85" w:rsidRPr="00D85F56" w:rsidRDefault="00000000">
      <w:pPr>
        <w:rPr>
          <w:b/>
          <w:bCs/>
        </w:rPr>
      </w:pPr>
      <w:r w:rsidRPr="00D85F56">
        <w:rPr>
          <w:b/>
          <w:bCs/>
        </w:rPr>
        <w:t>Documentation fee – Price (€) per use per wagon</w:t>
      </w:r>
    </w:p>
    <w:p w14:paraId="72F2093E" w14:textId="77777777" w:rsidR="00743B85" w:rsidRDefault="00000000">
      <w:r>
        <w:t>Exit/Loading Permit at the Railway Station:</w:t>
      </w:r>
    </w:p>
    <w:p w14:paraId="4A5976ED" w14:textId="77777777" w:rsidR="00743B85" w:rsidRPr="003952BC" w:rsidRDefault="00000000">
      <w:pPr>
        <w:rPr>
          <w:b/>
          <w:bCs/>
        </w:rPr>
      </w:pPr>
      <w:r w:rsidRPr="003952BC">
        <w:rPr>
          <w:b/>
          <w:bCs/>
        </w:rPr>
        <w:t>20,00 € / wagon / use</w:t>
      </w:r>
    </w:p>
    <w:p w14:paraId="65342F0C" w14:textId="77777777" w:rsidR="00743B85" w:rsidRDefault="00000000">
      <w:r>
        <w:t>All prices are subject to VAT.</w:t>
      </w:r>
    </w:p>
    <w:p w14:paraId="1DFDCE1B" w14:textId="77777777" w:rsidR="00743B85" w:rsidRDefault="00000000">
      <w:pPr>
        <w:pStyle w:val="Heading3"/>
      </w:pPr>
      <w:r>
        <w:t>4.1.1 Exit of cargo from the Railway Station (arrival of loaded wagons for unloading)</w:t>
      </w:r>
    </w:p>
    <w:p w14:paraId="2CD8A71E" w14:textId="77777777" w:rsidR="00743B85" w:rsidRDefault="00000000">
      <w:r>
        <w:t xml:space="preserve">The User declares the date and time of arrival of the train at the Railway Station and has a </w:t>
      </w:r>
      <w:r w:rsidRPr="007F6E6F">
        <w:rPr>
          <w:b/>
          <w:bCs/>
        </w:rPr>
        <w:t>deadline of two (2) calendar days</w:t>
      </w:r>
      <w:r>
        <w:t xml:space="preserve"> (in accordance with Article 4.0) to unload and remove the containers (E/C) or other cargo from the facilities, using their own means.</w:t>
      </w:r>
    </w:p>
    <w:p w14:paraId="0E90046A" w14:textId="77777777" w:rsidR="00743B85" w:rsidRPr="007F6E6F" w:rsidRDefault="00000000">
      <w:pPr>
        <w:rPr>
          <w:u w:val="single"/>
        </w:rPr>
      </w:pPr>
      <w:r>
        <w:t xml:space="preserve">From the 3rd day of stay onwards, the presence of wagons on the </w:t>
      </w:r>
      <w:proofErr w:type="gramStart"/>
      <w:r>
        <w:t>sidings</w:t>
      </w:r>
      <w:proofErr w:type="gramEnd"/>
      <w:r>
        <w:t xml:space="preserve"> is charged as </w:t>
      </w:r>
      <w:r w:rsidRPr="007F6E6F">
        <w:rPr>
          <w:b/>
          <w:bCs/>
        </w:rPr>
        <w:t>a right of parking/occupation of infrastructure</w:t>
      </w:r>
      <w:r>
        <w:t xml:space="preserve">, calculated based on the Export container storage charges in the table of Article 4.2.2, in </w:t>
      </w:r>
      <w:r w:rsidRPr="007F6E6F">
        <w:rPr>
          <w:u w:val="single"/>
        </w:rPr>
        <w:t>an equivalent number of containers equal to the capacity of the remaining wagons (Appendix 4.1-A).</w:t>
      </w:r>
    </w:p>
    <w:p w14:paraId="46061A2B" w14:textId="77777777" w:rsidR="00743B85" w:rsidRDefault="00000000">
      <w:r>
        <w:t>The capacity of wagons in equivalent containers is determined by the wagon loading plan / manifest (see Appendix 4.1-A for indicative mappings).</w:t>
      </w:r>
    </w:p>
    <w:p w14:paraId="7326BE48" w14:textId="77777777" w:rsidR="00743B85" w:rsidRPr="00084536" w:rsidRDefault="00000000">
      <w:pPr>
        <w:rPr>
          <w:u w:val="single"/>
        </w:rPr>
      </w:pPr>
      <w:r w:rsidRPr="00084536">
        <w:rPr>
          <w:u w:val="single"/>
        </w:rPr>
        <w:lastRenderedPageBreak/>
        <w:t>For tank wagons, each tank wagon is equivalent to 2 containers ≤ 20 ft.</w:t>
      </w:r>
    </w:p>
    <w:p w14:paraId="305EC81E" w14:textId="77777777" w:rsidR="00743B85" w:rsidRDefault="00000000">
      <w:pPr>
        <w:pStyle w:val="Heading3"/>
      </w:pPr>
      <w:r>
        <w:t>4.1.2 Entry of cargo to the Railway Station (arrival of cargo for loading)</w:t>
      </w:r>
    </w:p>
    <w:p w14:paraId="3F2FF965" w14:textId="77777777" w:rsidR="00743B85" w:rsidRDefault="00000000">
      <w:r>
        <w:t>The User declares the date and time of arrival of the cargo and the train at the Railway Station and has a deadline of two (2) calendar days (in accordance with Article 4.0) to load the containers (E/C) or other cargo, using their own means.</w:t>
      </w:r>
    </w:p>
    <w:p w14:paraId="2E7F7102" w14:textId="77777777" w:rsidR="00743B85" w:rsidRPr="00084536" w:rsidRDefault="00000000">
      <w:pPr>
        <w:rPr>
          <w:u w:val="single"/>
        </w:rPr>
      </w:pPr>
      <w:r>
        <w:t xml:space="preserve">From the 3rd day of stay onwards, the presence of wagons on the </w:t>
      </w:r>
      <w:proofErr w:type="gramStart"/>
      <w:r>
        <w:t>sidings</w:t>
      </w:r>
      <w:proofErr w:type="gramEnd"/>
      <w:r>
        <w:t xml:space="preserve"> is charged as </w:t>
      </w:r>
      <w:r w:rsidRPr="00084536">
        <w:rPr>
          <w:b/>
          <w:bCs/>
        </w:rPr>
        <w:t>a right of parking/occupation of infrastructure</w:t>
      </w:r>
      <w:r>
        <w:t xml:space="preserve">, calculated based on the Import container storage charges in the table of Article 4.2.1, in </w:t>
      </w:r>
      <w:r w:rsidRPr="00084536">
        <w:rPr>
          <w:u w:val="single"/>
        </w:rPr>
        <w:t>an equivalent number of containers equal to the capacity of the remaining wagons (Appendix 4.1-A).</w:t>
      </w:r>
    </w:p>
    <w:p w14:paraId="6A1F20FB" w14:textId="77777777" w:rsidR="00743B85" w:rsidRDefault="00000000">
      <w:r>
        <w:t>The capacity of wagons in equivalent containers is determined by the wagon loading plan / manifest (see Appendix 4.1-A for indicative mappings).</w:t>
      </w:r>
    </w:p>
    <w:p w14:paraId="4741336C" w14:textId="77777777" w:rsidR="00743B85" w:rsidRPr="00084536" w:rsidRDefault="00000000">
      <w:pPr>
        <w:rPr>
          <w:u w:val="single"/>
        </w:rPr>
      </w:pPr>
      <w:r w:rsidRPr="00084536">
        <w:rPr>
          <w:u w:val="single"/>
        </w:rPr>
        <w:t>For tank wagons, each tank wagon is equivalent to 2 containers ≤ 20 ft.</w:t>
      </w:r>
    </w:p>
    <w:p w14:paraId="2B5E81D7" w14:textId="77777777" w:rsidR="00743B85" w:rsidRDefault="00000000">
      <w:pPr>
        <w:pStyle w:val="Heading3"/>
      </w:pPr>
      <w:r>
        <w:t>Appendix 4.1-A: Indicative mapping of wagon types to capacity (equivalent containers / TEU)</w:t>
      </w:r>
    </w:p>
    <w:p w14:paraId="63A7D325" w14:textId="77777777" w:rsidR="00743B85" w:rsidRDefault="00000000">
      <w:r>
        <w:t>Purpose: The mapping below is provided for the purpose of calculating equivalent containers when wagon stay charges on the sidings are calculated via the storage tables (Articles 4.2.1 / 4.2.2).</w:t>
      </w:r>
    </w:p>
    <w:p w14:paraId="385C1B91" w14:textId="77777777" w:rsidR="00743B85" w:rsidRDefault="00000000">
      <w:r>
        <w:t>Rule of precedence: The final capacity (in equivalent containers) is documented by the wagon loading plan / manifest, which prevails over this appendix.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gridCol w:w="2160"/>
        <w:gridCol w:w="2160"/>
      </w:tblGrid>
      <w:tr w:rsidR="00743B85" w14:paraId="760584A6" w14:textId="77777777" w:rsidTr="00FE3572">
        <w:tc>
          <w:tcPr>
            <w:tcW w:w="2160" w:type="dxa"/>
          </w:tcPr>
          <w:p w14:paraId="409A5D72" w14:textId="77777777" w:rsidR="00743B85" w:rsidRPr="0081417C" w:rsidRDefault="00000000">
            <w:pPr>
              <w:rPr>
                <w:b/>
                <w:bCs/>
              </w:rPr>
            </w:pPr>
            <w:r w:rsidRPr="0081417C">
              <w:rPr>
                <w:b/>
                <w:bCs/>
              </w:rPr>
              <w:t>Indicative intermodal wagon type</w:t>
            </w:r>
          </w:p>
        </w:tc>
        <w:tc>
          <w:tcPr>
            <w:tcW w:w="2160" w:type="dxa"/>
          </w:tcPr>
          <w:p w14:paraId="7CFFBB19" w14:textId="77777777" w:rsidR="00743B85" w:rsidRPr="0081417C" w:rsidRDefault="00000000">
            <w:pPr>
              <w:rPr>
                <w:b/>
                <w:bCs/>
              </w:rPr>
            </w:pPr>
            <w:r w:rsidRPr="0081417C">
              <w:rPr>
                <w:b/>
                <w:bCs/>
              </w:rPr>
              <w:t>Indicative loading length</w:t>
            </w:r>
          </w:p>
        </w:tc>
        <w:tc>
          <w:tcPr>
            <w:tcW w:w="2160" w:type="dxa"/>
          </w:tcPr>
          <w:p w14:paraId="79B9A25E" w14:textId="77777777" w:rsidR="00743B85" w:rsidRPr="0081417C" w:rsidRDefault="00000000">
            <w:pPr>
              <w:rPr>
                <w:b/>
                <w:bCs/>
              </w:rPr>
            </w:pPr>
            <w:r w:rsidRPr="0081417C">
              <w:rPr>
                <w:b/>
                <w:bCs/>
              </w:rPr>
              <w:t>Indicative maximum loading configuration</w:t>
            </w:r>
          </w:p>
        </w:tc>
        <w:tc>
          <w:tcPr>
            <w:tcW w:w="2160" w:type="dxa"/>
          </w:tcPr>
          <w:p w14:paraId="6196ECC1" w14:textId="77777777" w:rsidR="00743B85" w:rsidRPr="0081417C" w:rsidRDefault="00000000">
            <w:pPr>
              <w:rPr>
                <w:b/>
                <w:bCs/>
              </w:rPr>
            </w:pPr>
            <w:r w:rsidRPr="0081417C">
              <w:rPr>
                <w:b/>
                <w:bCs/>
              </w:rPr>
              <w:t>Equivalent containers (TEU) for charging</w:t>
            </w:r>
          </w:p>
        </w:tc>
      </w:tr>
      <w:tr w:rsidR="00743B85" w14:paraId="28B67D02" w14:textId="77777777" w:rsidTr="00FE3572">
        <w:tc>
          <w:tcPr>
            <w:tcW w:w="2160" w:type="dxa"/>
          </w:tcPr>
          <w:p w14:paraId="4CBEBAA8" w14:textId="77777777" w:rsidR="00743B85" w:rsidRDefault="00000000">
            <w:proofErr w:type="spellStart"/>
            <w:r>
              <w:t>Sgmmns</w:t>
            </w:r>
            <w:proofErr w:type="spellEnd"/>
            <w:r>
              <w:t>(s) 40’ (4-axle platform 40’)</w:t>
            </w:r>
          </w:p>
        </w:tc>
        <w:tc>
          <w:tcPr>
            <w:tcW w:w="2160" w:type="dxa"/>
          </w:tcPr>
          <w:p w14:paraId="4C0B9DAA" w14:textId="77777777" w:rsidR="00743B85" w:rsidRDefault="00000000">
            <w:r>
              <w:t>~12,30 m</w:t>
            </w:r>
          </w:p>
        </w:tc>
        <w:tc>
          <w:tcPr>
            <w:tcW w:w="2160" w:type="dxa"/>
          </w:tcPr>
          <w:p w14:paraId="74AC6C67" w14:textId="77777777" w:rsidR="00743B85" w:rsidRDefault="00000000">
            <w:proofErr w:type="gramStart"/>
            <w:r>
              <w:t>1×40</w:t>
            </w:r>
            <w:proofErr w:type="gramEnd"/>
            <w:r>
              <w:t>’ or 2×20’</w:t>
            </w:r>
          </w:p>
        </w:tc>
        <w:tc>
          <w:tcPr>
            <w:tcW w:w="2160" w:type="dxa"/>
          </w:tcPr>
          <w:p w14:paraId="15C7AFF8" w14:textId="77777777" w:rsidR="00743B85" w:rsidRDefault="00000000">
            <w:r>
              <w:t>2 TEU (20’)</w:t>
            </w:r>
          </w:p>
        </w:tc>
      </w:tr>
      <w:tr w:rsidR="00743B85" w14:paraId="7EBF30AD" w14:textId="77777777" w:rsidTr="00FE3572">
        <w:tc>
          <w:tcPr>
            <w:tcW w:w="2160" w:type="dxa"/>
          </w:tcPr>
          <w:p w14:paraId="7BE68D3D" w14:textId="77777777" w:rsidR="00743B85" w:rsidRDefault="00000000">
            <w:proofErr w:type="spellStart"/>
            <w:r>
              <w:t>Sgnss</w:t>
            </w:r>
            <w:proofErr w:type="spellEnd"/>
            <w:r>
              <w:t xml:space="preserve"> 60’ (4-axle platform 60’)</w:t>
            </w:r>
          </w:p>
        </w:tc>
        <w:tc>
          <w:tcPr>
            <w:tcW w:w="2160" w:type="dxa"/>
          </w:tcPr>
          <w:p w14:paraId="56C5635B" w14:textId="77777777" w:rsidR="00743B85" w:rsidRDefault="00000000">
            <w:r>
              <w:t>loading area ~18.760 mm</w:t>
            </w:r>
          </w:p>
        </w:tc>
        <w:tc>
          <w:tcPr>
            <w:tcW w:w="2160" w:type="dxa"/>
          </w:tcPr>
          <w:p w14:paraId="6D81802F" w14:textId="77777777" w:rsidR="00743B85" w:rsidRDefault="00000000">
            <w:proofErr w:type="gramStart"/>
            <w:r>
              <w:t>1×40</w:t>
            </w:r>
            <w:proofErr w:type="gramEnd"/>
            <w:r>
              <w:t>’+1×20’ or 3×20’ (typical, due to length)</w:t>
            </w:r>
          </w:p>
        </w:tc>
        <w:tc>
          <w:tcPr>
            <w:tcW w:w="2160" w:type="dxa"/>
          </w:tcPr>
          <w:p w14:paraId="1C1F7B05" w14:textId="77777777" w:rsidR="00743B85" w:rsidRDefault="00000000">
            <w:r>
              <w:t>3 TEU (20’)</w:t>
            </w:r>
          </w:p>
        </w:tc>
      </w:tr>
      <w:tr w:rsidR="00743B85" w14:paraId="3EC296E1" w14:textId="77777777" w:rsidTr="00FE3572">
        <w:tc>
          <w:tcPr>
            <w:tcW w:w="2160" w:type="dxa"/>
          </w:tcPr>
          <w:p w14:paraId="07BB5017" w14:textId="77777777" w:rsidR="00743B85" w:rsidRDefault="00000000">
            <w:proofErr w:type="spellStart"/>
            <w:r>
              <w:t>Sggrss</w:t>
            </w:r>
            <w:proofErr w:type="spellEnd"/>
            <w:r>
              <w:t xml:space="preserve"> 80’ (articulated / 6-axle 80’)</w:t>
            </w:r>
          </w:p>
        </w:tc>
        <w:tc>
          <w:tcPr>
            <w:tcW w:w="2160" w:type="dxa"/>
          </w:tcPr>
          <w:p w14:paraId="37FC43EB" w14:textId="77777777" w:rsidR="00743B85" w:rsidRDefault="00000000">
            <w:r>
              <w:t>loading area 2×11.985 mm</w:t>
            </w:r>
          </w:p>
        </w:tc>
        <w:tc>
          <w:tcPr>
            <w:tcW w:w="2160" w:type="dxa"/>
          </w:tcPr>
          <w:p w14:paraId="63C665BC" w14:textId="77777777" w:rsidR="00743B85" w:rsidRDefault="00000000">
            <w:proofErr w:type="gramStart"/>
            <w:r>
              <w:t>2×40</w:t>
            </w:r>
            <w:proofErr w:type="gramEnd"/>
            <w:r>
              <w:t>’ or 1×40’+2×20’ or 4×20’ (typical, due to length)</w:t>
            </w:r>
          </w:p>
        </w:tc>
        <w:tc>
          <w:tcPr>
            <w:tcW w:w="2160" w:type="dxa"/>
          </w:tcPr>
          <w:p w14:paraId="4D39D58E" w14:textId="77777777" w:rsidR="00743B85" w:rsidRDefault="00000000">
            <w:r>
              <w:t>4 TEU (20’)</w:t>
            </w:r>
          </w:p>
        </w:tc>
      </w:tr>
      <w:tr w:rsidR="00743B85" w14:paraId="575A195F" w14:textId="77777777" w:rsidTr="00FE3572">
        <w:tc>
          <w:tcPr>
            <w:tcW w:w="2160" w:type="dxa"/>
          </w:tcPr>
          <w:p w14:paraId="4A231DF7" w14:textId="77777777" w:rsidR="00743B85" w:rsidRDefault="00000000">
            <w:proofErr w:type="spellStart"/>
            <w:r>
              <w:t>Sdggmrss</w:t>
            </w:r>
            <w:proofErr w:type="spellEnd"/>
            <w:r>
              <w:t xml:space="preserve"> (T3000e) </w:t>
            </w:r>
            <w:r>
              <w:lastRenderedPageBreak/>
              <w:t>(6-axle pocket/double)</w:t>
            </w:r>
          </w:p>
        </w:tc>
        <w:tc>
          <w:tcPr>
            <w:tcW w:w="2160" w:type="dxa"/>
          </w:tcPr>
          <w:p w14:paraId="4041599B" w14:textId="77777777" w:rsidR="00743B85" w:rsidRDefault="00000000">
            <w:r>
              <w:lastRenderedPageBreak/>
              <w:t>(multi-ITU capable)</w:t>
            </w:r>
          </w:p>
        </w:tc>
        <w:tc>
          <w:tcPr>
            <w:tcW w:w="2160" w:type="dxa"/>
          </w:tcPr>
          <w:p w14:paraId="26177716" w14:textId="77777777" w:rsidR="00743B85" w:rsidRDefault="00000000">
            <w:r>
              <w:t xml:space="preserve">up to 4 “class C” Ct or </w:t>
            </w:r>
            <w:r>
              <w:lastRenderedPageBreak/>
              <w:t>up to 2 “class A” Ct (as per datasheet)</w:t>
            </w:r>
          </w:p>
        </w:tc>
        <w:tc>
          <w:tcPr>
            <w:tcW w:w="2160" w:type="dxa"/>
          </w:tcPr>
          <w:p w14:paraId="6D40506B" w14:textId="77777777" w:rsidR="00743B85" w:rsidRDefault="00000000">
            <w:r>
              <w:lastRenderedPageBreak/>
              <w:t>4 TEU (20’)</w:t>
            </w:r>
          </w:p>
        </w:tc>
      </w:tr>
      <w:tr w:rsidR="00743B85" w14:paraId="6C530296" w14:textId="77777777" w:rsidTr="00FE3572">
        <w:tc>
          <w:tcPr>
            <w:tcW w:w="2160" w:type="dxa"/>
          </w:tcPr>
          <w:p w14:paraId="368C3F22" w14:textId="77777777" w:rsidR="00743B85" w:rsidRDefault="00000000">
            <w:r>
              <w:t>Tank wagon (DEPPATHE rule)</w:t>
            </w:r>
          </w:p>
        </w:tc>
        <w:tc>
          <w:tcPr>
            <w:tcW w:w="2160" w:type="dxa"/>
          </w:tcPr>
          <w:p w14:paraId="3D5ECB3A" w14:textId="77777777" w:rsidR="00743B85" w:rsidRDefault="00000000">
            <w:r>
              <w:t>—</w:t>
            </w:r>
          </w:p>
        </w:tc>
        <w:tc>
          <w:tcPr>
            <w:tcW w:w="2160" w:type="dxa"/>
          </w:tcPr>
          <w:p w14:paraId="78A73BAB" w14:textId="77777777" w:rsidR="00743B85" w:rsidRDefault="00000000">
            <w:r>
              <w:t>1 tank wagon = 2</w:t>
            </w:r>
            <w:proofErr w:type="gramStart"/>
            <w:r>
              <w:t>×(</w:t>
            </w:r>
            <w:proofErr w:type="gramEnd"/>
            <w:r>
              <w:t>≤20’)</w:t>
            </w:r>
          </w:p>
        </w:tc>
        <w:tc>
          <w:tcPr>
            <w:tcW w:w="2160" w:type="dxa"/>
          </w:tcPr>
          <w:p w14:paraId="42A919E3" w14:textId="77777777" w:rsidR="00743B85" w:rsidRDefault="00000000">
            <w:r>
              <w:t>2 TEU (20’)</w:t>
            </w:r>
          </w:p>
        </w:tc>
      </w:tr>
    </w:tbl>
    <w:p w14:paraId="47972EA0" w14:textId="77777777" w:rsidR="00743B85" w:rsidRDefault="00000000">
      <w:r>
        <w:t>Note: The standard 20’/40’ mappings are based on international standard container lengths (20’ and 40’) and published technical loading lengths per wagon type.</w:t>
      </w:r>
    </w:p>
    <w:p w14:paraId="67781593" w14:textId="77777777" w:rsidR="00DC65EE" w:rsidRDefault="00DC65EE"/>
    <w:p w14:paraId="0DE48CF7" w14:textId="77777777" w:rsidR="00743B85" w:rsidRDefault="00000000">
      <w:pPr>
        <w:pStyle w:val="Heading2"/>
      </w:pPr>
      <w:r>
        <w:t>4.2 CHARGE 2 – Storage Services (Storage fee)</w:t>
      </w:r>
    </w:p>
    <w:p w14:paraId="1400953B" w14:textId="77777777" w:rsidR="00743B85" w:rsidRPr="00B01BC6" w:rsidRDefault="00000000">
      <w:pPr>
        <w:rPr>
          <w:b/>
          <w:bCs/>
        </w:rPr>
      </w:pPr>
      <w:r w:rsidRPr="00B01BC6">
        <w:rPr>
          <w:b/>
          <w:bCs/>
        </w:rPr>
        <w:t>CONTAINER TERMINAL FEES (E/C)</w:t>
      </w:r>
    </w:p>
    <w:p w14:paraId="7569C66E" w14:textId="77777777" w:rsidR="00743B85" w:rsidRDefault="00000000">
      <w:pPr>
        <w:pStyle w:val="Heading3"/>
      </w:pPr>
      <w:r>
        <w:t>4.2.1 Import containers (for loading onto a train)</w:t>
      </w:r>
    </w:p>
    <w:p w14:paraId="20FF641E" w14:textId="448F5284" w:rsidR="00B01BC6" w:rsidRDefault="00000000">
      <w:r>
        <w:t>If the Customer wishes to store containers intended for transshipment onto a train at the Railway Station for a period before the two (2) days that constitute the free-use margin of the loading/unloading area during train loading, the following charges apply:</w:t>
      </w:r>
    </w:p>
    <w:p w14:paraId="56ECF91C" w14:textId="77777777" w:rsidR="00743B85" w:rsidRPr="00653FEB" w:rsidRDefault="00000000">
      <w:pPr>
        <w:rPr>
          <w:b/>
          <w:bCs/>
        </w:rPr>
      </w:pPr>
      <w:r w:rsidRPr="00653FEB">
        <w:rPr>
          <w:b/>
          <w:bCs/>
        </w:rPr>
        <w:t>Import containers (for loading onto a train) – Euro per container per calendar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743B85" w14:paraId="30DD28F5" w14:textId="77777777" w:rsidTr="00FE3572">
        <w:tc>
          <w:tcPr>
            <w:tcW w:w="2880" w:type="dxa"/>
          </w:tcPr>
          <w:p w14:paraId="5C1D8701" w14:textId="77777777" w:rsidR="00743B85" w:rsidRPr="00653FEB" w:rsidRDefault="00000000">
            <w:pPr>
              <w:rPr>
                <w:b/>
                <w:bCs/>
              </w:rPr>
            </w:pPr>
            <w:r w:rsidRPr="00653FEB">
              <w:rPr>
                <w:b/>
                <w:bCs/>
              </w:rPr>
              <w:t>Stay period</w:t>
            </w:r>
          </w:p>
        </w:tc>
        <w:tc>
          <w:tcPr>
            <w:tcW w:w="2880" w:type="dxa"/>
          </w:tcPr>
          <w:p w14:paraId="73D1176A" w14:textId="77777777" w:rsidR="00743B85" w:rsidRPr="00653FEB" w:rsidRDefault="00000000" w:rsidP="0081417C">
            <w:pPr>
              <w:jc w:val="center"/>
              <w:rPr>
                <w:b/>
                <w:bCs/>
              </w:rPr>
            </w:pPr>
            <w:r w:rsidRPr="00653FEB">
              <w:rPr>
                <w:b/>
                <w:bCs/>
              </w:rPr>
              <w:t>≤ 20 ft</w:t>
            </w:r>
          </w:p>
        </w:tc>
        <w:tc>
          <w:tcPr>
            <w:tcW w:w="2880" w:type="dxa"/>
          </w:tcPr>
          <w:p w14:paraId="377C267C" w14:textId="77777777" w:rsidR="00743B85" w:rsidRPr="00653FEB" w:rsidRDefault="00000000" w:rsidP="0081417C">
            <w:pPr>
              <w:jc w:val="center"/>
              <w:rPr>
                <w:b/>
                <w:bCs/>
              </w:rPr>
            </w:pPr>
            <w:r w:rsidRPr="00653FEB">
              <w:rPr>
                <w:b/>
                <w:bCs/>
              </w:rPr>
              <w:t>&gt; 20 ft</w:t>
            </w:r>
          </w:p>
        </w:tc>
      </w:tr>
      <w:tr w:rsidR="00743B85" w14:paraId="7B3290DE" w14:textId="77777777" w:rsidTr="00FE3572">
        <w:tc>
          <w:tcPr>
            <w:tcW w:w="2880" w:type="dxa"/>
          </w:tcPr>
          <w:p w14:paraId="2F79048A" w14:textId="77777777" w:rsidR="00743B85" w:rsidRPr="0081417C" w:rsidRDefault="00000000">
            <w:pPr>
              <w:rPr>
                <w:b/>
                <w:bCs/>
              </w:rPr>
            </w:pPr>
            <w:r w:rsidRPr="0081417C">
              <w:rPr>
                <w:b/>
                <w:bCs/>
              </w:rPr>
              <w:t>First 3 days</w:t>
            </w:r>
          </w:p>
        </w:tc>
        <w:tc>
          <w:tcPr>
            <w:tcW w:w="2880" w:type="dxa"/>
          </w:tcPr>
          <w:p w14:paraId="50AFEB30" w14:textId="77777777" w:rsidR="00743B85" w:rsidRDefault="00000000" w:rsidP="0081417C">
            <w:pPr>
              <w:jc w:val="center"/>
            </w:pPr>
            <w:r>
              <w:t>3,50</w:t>
            </w:r>
          </w:p>
        </w:tc>
        <w:tc>
          <w:tcPr>
            <w:tcW w:w="2880" w:type="dxa"/>
          </w:tcPr>
          <w:p w14:paraId="07DE6E1A" w14:textId="77777777" w:rsidR="00743B85" w:rsidRDefault="00000000" w:rsidP="0081417C">
            <w:pPr>
              <w:jc w:val="center"/>
            </w:pPr>
            <w:r>
              <w:t>7,90</w:t>
            </w:r>
          </w:p>
        </w:tc>
      </w:tr>
      <w:tr w:rsidR="00743B85" w14:paraId="2BF1D0F7" w14:textId="77777777" w:rsidTr="00FE3572">
        <w:tc>
          <w:tcPr>
            <w:tcW w:w="2880" w:type="dxa"/>
          </w:tcPr>
          <w:p w14:paraId="5DEC820B" w14:textId="77777777" w:rsidR="00743B85" w:rsidRPr="0081417C" w:rsidRDefault="00000000">
            <w:pPr>
              <w:rPr>
                <w:b/>
                <w:bCs/>
              </w:rPr>
            </w:pPr>
            <w:r w:rsidRPr="0081417C">
              <w:rPr>
                <w:b/>
                <w:bCs/>
              </w:rPr>
              <w:t>Days 4–10</w:t>
            </w:r>
          </w:p>
        </w:tc>
        <w:tc>
          <w:tcPr>
            <w:tcW w:w="2880" w:type="dxa"/>
          </w:tcPr>
          <w:p w14:paraId="5545C154" w14:textId="77777777" w:rsidR="00743B85" w:rsidRDefault="00000000">
            <w:r>
              <w:t>3,80</w:t>
            </w:r>
          </w:p>
        </w:tc>
        <w:tc>
          <w:tcPr>
            <w:tcW w:w="2880" w:type="dxa"/>
          </w:tcPr>
          <w:p w14:paraId="70168B7B" w14:textId="77777777" w:rsidR="00743B85" w:rsidRDefault="00000000">
            <w:r>
              <w:t>8,00</w:t>
            </w:r>
          </w:p>
        </w:tc>
      </w:tr>
      <w:tr w:rsidR="00743B85" w14:paraId="52356DCB" w14:textId="77777777" w:rsidTr="00FE3572">
        <w:tc>
          <w:tcPr>
            <w:tcW w:w="2880" w:type="dxa"/>
          </w:tcPr>
          <w:p w14:paraId="76EA6121" w14:textId="77777777" w:rsidR="00743B85" w:rsidRPr="0081417C" w:rsidRDefault="00000000">
            <w:pPr>
              <w:rPr>
                <w:b/>
                <w:bCs/>
              </w:rPr>
            </w:pPr>
            <w:r w:rsidRPr="0081417C">
              <w:rPr>
                <w:b/>
                <w:bCs/>
              </w:rPr>
              <w:t>Beyond 10 days</w:t>
            </w:r>
          </w:p>
        </w:tc>
        <w:tc>
          <w:tcPr>
            <w:tcW w:w="2880" w:type="dxa"/>
          </w:tcPr>
          <w:p w14:paraId="189D212F" w14:textId="77777777" w:rsidR="00743B85" w:rsidRDefault="00000000">
            <w:r>
              <w:t>7,70</w:t>
            </w:r>
          </w:p>
        </w:tc>
        <w:tc>
          <w:tcPr>
            <w:tcW w:w="2880" w:type="dxa"/>
          </w:tcPr>
          <w:p w14:paraId="5F0EB4A8" w14:textId="77777777" w:rsidR="00743B85" w:rsidRDefault="00000000">
            <w:r>
              <w:t>16,90</w:t>
            </w:r>
          </w:p>
        </w:tc>
      </w:tr>
    </w:tbl>
    <w:p w14:paraId="66C1D9A3" w14:textId="77777777" w:rsidR="00743B85" w:rsidRDefault="00000000">
      <w:r>
        <w:t>All prices are subject to VAT.</w:t>
      </w:r>
    </w:p>
    <w:p w14:paraId="35C73AB3" w14:textId="77777777" w:rsidR="00743B85" w:rsidRDefault="00000000">
      <w:r>
        <w:t>Note (minimum charge): The first 3 days are charged as a lump sum (minimum charge equal to a 3-day stay).</w:t>
      </w:r>
    </w:p>
    <w:p w14:paraId="3723C1DD" w14:textId="77777777" w:rsidR="00743B85" w:rsidRDefault="00000000">
      <w:r>
        <w:t xml:space="preserve">The storage period for </w:t>
      </w:r>
      <w:proofErr w:type="gramStart"/>
      <w:r>
        <w:t>import</w:t>
      </w:r>
      <w:proofErr w:type="gramEnd"/>
      <w:r>
        <w:t xml:space="preserve"> containers starts from the day the containers arrive at the Railway Station and ceases on the day loading begins (at which point the 2-day free stay period for loading begins), in accordance with Article 4.0.</w:t>
      </w:r>
    </w:p>
    <w:p w14:paraId="71D11725" w14:textId="77777777" w:rsidR="00743B85" w:rsidRDefault="00000000">
      <w:r>
        <w:t>After 12:00, storage fees are calculated indivisibly for each calendar day.</w:t>
      </w:r>
    </w:p>
    <w:p w14:paraId="7D71DACD" w14:textId="77777777" w:rsidR="00743B85" w:rsidRDefault="00000000">
      <w:r>
        <w:t xml:space="preserve">If loading is not completed on time and trains remain on the </w:t>
      </w:r>
      <w:proofErr w:type="gramStart"/>
      <w:r>
        <w:t>sidings beyond</w:t>
      </w:r>
      <w:proofErr w:type="gramEnd"/>
      <w:r>
        <w:t xml:space="preserve"> 2 days from their arrival, this stay is charged in accordance with Articles 4.1.2 and 4.2.1 (equivalent containers based on capacity/manifest).</w:t>
      </w:r>
    </w:p>
    <w:p w14:paraId="370212E4" w14:textId="77777777" w:rsidR="00DC65EE" w:rsidRDefault="00DC65EE"/>
    <w:p w14:paraId="13E3EE20" w14:textId="77777777" w:rsidR="00743B85" w:rsidRDefault="00000000">
      <w:pPr>
        <w:pStyle w:val="Heading3"/>
      </w:pPr>
      <w:r>
        <w:t>4.2.2 Export containers (unloaded from trains for removal from the Railway Station)</w:t>
      </w:r>
    </w:p>
    <w:p w14:paraId="2A32FAA6" w14:textId="77777777" w:rsidR="00743B85" w:rsidRDefault="00000000">
      <w:r>
        <w:t xml:space="preserve">If, after train unloading, the Customer wishes to store containers within the Railway Station area to be removed </w:t>
      </w:r>
      <w:proofErr w:type="gramStart"/>
      <w:r>
        <w:t>at a later time</w:t>
      </w:r>
      <w:proofErr w:type="gramEnd"/>
      <w:r>
        <w:t>, the following charges apply:</w:t>
      </w:r>
    </w:p>
    <w:p w14:paraId="00C66E8D" w14:textId="77777777" w:rsidR="00743B85" w:rsidRPr="0081417C" w:rsidRDefault="00000000">
      <w:pPr>
        <w:rPr>
          <w:b/>
          <w:bCs/>
        </w:rPr>
      </w:pPr>
      <w:r w:rsidRPr="0081417C">
        <w:rPr>
          <w:b/>
          <w:bCs/>
        </w:rPr>
        <w:t>Export containers (unloaded from trains for removal) – Euro per container per calendar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743B85" w14:paraId="7B7B195D" w14:textId="77777777" w:rsidTr="00FE3572">
        <w:tc>
          <w:tcPr>
            <w:tcW w:w="2880" w:type="dxa"/>
          </w:tcPr>
          <w:p w14:paraId="578BCC32" w14:textId="77777777" w:rsidR="00743B85" w:rsidRPr="0081417C" w:rsidRDefault="00000000">
            <w:pPr>
              <w:rPr>
                <w:b/>
                <w:bCs/>
              </w:rPr>
            </w:pPr>
            <w:r w:rsidRPr="0081417C">
              <w:rPr>
                <w:b/>
                <w:bCs/>
              </w:rPr>
              <w:t>Stay period</w:t>
            </w:r>
          </w:p>
        </w:tc>
        <w:tc>
          <w:tcPr>
            <w:tcW w:w="2880" w:type="dxa"/>
          </w:tcPr>
          <w:p w14:paraId="2925841E" w14:textId="77777777" w:rsidR="00743B85" w:rsidRPr="0081417C" w:rsidRDefault="00000000" w:rsidP="0081417C">
            <w:pPr>
              <w:jc w:val="center"/>
              <w:rPr>
                <w:b/>
                <w:bCs/>
              </w:rPr>
            </w:pPr>
            <w:r w:rsidRPr="0081417C">
              <w:rPr>
                <w:b/>
                <w:bCs/>
              </w:rPr>
              <w:t>≤ 20 ft</w:t>
            </w:r>
          </w:p>
        </w:tc>
        <w:tc>
          <w:tcPr>
            <w:tcW w:w="2880" w:type="dxa"/>
          </w:tcPr>
          <w:p w14:paraId="1F4A2BB2" w14:textId="77777777" w:rsidR="00743B85" w:rsidRPr="0081417C" w:rsidRDefault="00000000" w:rsidP="0081417C">
            <w:pPr>
              <w:jc w:val="center"/>
              <w:rPr>
                <w:b/>
                <w:bCs/>
              </w:rPr>
            </w:pPr>
            <w:r w:rsidRPr="0081417C">
              <w:rPr>
                <w:b/>
                <w:bCs/>
              </w:rPr>
              <w:t>&gt; 20 ft</w:t>
            </w:r>
          </w:p>
        </w:tc>
      </w:tr>
      <w:tr w:rsidR="00743B85" w14:paraId="52CC8A63" w14:textId="77777777" w:rsidTr="00FE3572">
        <w:tc>
          <w:tcPr>
            <w:tcW w:w="2880" w:type="dxa"/>
          </w:tcPr>
          <w:p w14:paraId="3C88EC7D" w14:textId="77777777" w:rsidR="00743B85" w:rsidRPr="0081417C" w:rsidRDefault="00000000">
            <w:pPr>
              <w:rPr>
                <w:b/>
                <w:bCs/>
              </w:rPr>
            </w:pPr>
            <w:r w:rsidRPr="0081417C">
              <w:rPr>
                <w:b/>
                <w:bCs/>
              </w:rPr>
              <w:t>3rd day</w:t>
            </w:r>
          </w:p>
        </w:tc>
        <w:tc>
          <w:tcPr>
            <w:tcW w:w="2880" w:type="dxa"/>
          </w:tcPr>
          <w:p w14:paraId="6BE539DF" w14:textId="77777777" w:rsidR="00743B85" w:rsidRDefault="00000000" w:rsidP="0081417C">
            <w:pPr>
              <w:jc w:val="center"/>
            </w:pPr>
            <w:r>
              <w:t>3,50</w:t>
            </w:r>
          </w:p>
        </w:tc>
        <w:tc>
          <w:tcPr>
            <w:tcW w:w="2880" w:type="dxa"/>
          </w:tcPr>
          <w:p w14:paraId="53E9FE45" w14:textId="77777777" w:rsidR="00743B85" w:rsidRDefault="00000000" w:rsidP="0081417C">
            <w:pPr>
              <w:jc w:val="center"/>
            </w:pPr>
            <w:r>
              <w:t>7,90</w:t>
            </w:r>
          </w:p>
        </w:tc>
      </w:tr>
      <w:tr w:rsidR="00743B85" w14:paraId="4973760B" w14:textId="77777777" w:rsidTr="00FE3572">
        <w:tc>
          <w:tcPr>
            <w:tcW w:w="2880" w:type="dxa"/>
          </w:tcPr>
          <w:p w14:paraId="0BE5D255" w14:textId="77777777" w:rsidR="00743B85" w:rsidRPr="0081417C" w:rsidRDefault="00000000">
            <w:pPr>
              <w:rPr>
                <w:b/>
                <w:bCs/>
              </w:rPr>
            </w:pPr>
            <w:r w:rsidRPr="0081417C">
              <w:rPr>
                <w:b/>
                <w:bCs/>
              </w:rPr>
              <w:t>Days 4–10</w:t>
            </w:r>
          </w:p>
        </w:tc>
        <w:tc>
          <w:tcPr>
            <w:tcW w:w="2880" w:type="dxa"/>
          </w:tcPr>
          <w:p w14:paraId="0AC2BC9B" w14:textId="77777777" w:rsidR="00743B85" w:rsidRDefault="00000000" w:rsidP="0081417C">
            <w:pPr>
              <w:jc w:val="center"/>
            </w:pPr>
            <w:r>
              <w:t>3,80</w:t>
            </w:r>
          </w:p>
        </w:tc>
        <w:tc>
          <w:tcPr>
            <w:tcW w:w="2880" w:type="dxa"/>
          </w:tcPr>
          <w:p w14:paraId="6BCA42D9" w14:textId="77777777" w:rsidR="00743B85" w:rsidRDefault="00000000" w:rsidP="0081417C">
            <w:pPr>
              <w:jc w:val="center"/>
            </w:pPr>
            <w:r>
              <w:t>8,00</w:t>
            </w:r>
          </w:p>
        </w:tc>
      </w:tr>
      <w:tr w:rsidR="00743B85" w14:paraId="3548BFB6" w14:textId="77777777" w:rsidTr="00FE3572">
        <w:tc>
          <w:tcPr>
            <w:tcW w:w="2880" w:type="dxa"/>
          </w:tcPr>
          <w:p w14:paraId="6D845D88" w14:textId="77777777" w:rsidR="00743B85" w:rsidRPr="0081417C" w:rsidRDefault="00000000">
            <w:pPr>
              <w:rPr>
                <w:b/>
                <w:bCs/>
              </w:rPr>
            </w:pPr>
            <w:r w:rsidRPr="0081417C">
              <w:rPr>
                <w:b/>
                <w:bCs/>
              </w:rPr>
              <w:t>Beyond 10 days</w:t>
            </w:r>
          </w:p>
        </w:tc>
        <w:tc>
          <w:tcPr>
            <w:tcW w:w="2880" w:type="dxa"/>
          </w:tcPr>
          <w:p w14:paraId="0A052CEF" w14:textId="77777777" w:rsidR="00743B85" w:rsidRDefault="00000000" w:rsidP="0081417C">
            <w:pPr>
              <w:jc w:val="center"/>
            </w:pPr>
            <w:r>
              <w:t>7,70</w:t>
            </w:r>
          </w:p>
        </w:tc>
        <w:tc>
          <w:tcPr>
            <w:tcW w:w="2880" w:type="dxa"/>
          </w:tcPr>
          <w:p w14:paraId="0399907D" w14:textId="77777777" w:rsidR="00743B85" w:rsidRDefault="00000000" w:rsidP="0081417C">
            <w:pPr>
              <w:jc w:val="center"/>
            </w:pPr>
            <w:r>
              <w:t>16,90</w:t>
            </w:r>
          </w:p>
        </w:tc>
      </w:tr>
    </w:tbl>
    <w:p w14:paraId="42EF7AB7" w14:textId="77777777" w:rsidR="00743B85" w:rsidRDefault="00000000">
      <w:r>
        <w:t>All prices are subject to VAT.</w:t>
      </w:r>
    </w:p>
    <w:p w14:paraId="784390E6" w14:textId="77777777" w:rsidR="00743B85" w:rsidRDefault="00000000">
      <w:r>
        <w:t>The storage period for export containers starts from the day the train arrives at the Railway Station; the first 2 days are free (charging starts on the 3rd day) and ceases at 12:00 on the day the last container is removed from the loading/unloading area, in accordance with Article 4.0.</w:t>
      </w:r>
    </w:p>
    <w:p w14:paraId="531AC043" w14:textId="77777777" w:rsidR="00743B85" w:rsidRDefault="00000000">
      <w:r>
        <w:t>After 12:00, storage fees are calculated indivisibly for each calendar day.</w:t>
      </w:r>
    </w:p>
    <w:p w14:paraId="444EBC28" w14:textId="77777777" w:rsidR="00743B85" w:rsidRDefault="00000000">
      <w:r>
        <w:t xml:space="preserve">If wagons are delayed/remain on the </w:t>
      </w:r>
      <w:proofErr w:type="gramStart"/>
      <w:r>
        <w:t>sidings</w:t>
      </w:r>
      <w:proofErr w:type="gramEnd"/>
      <w:r>
        <w:t xml:space="preserve"> beyond the deadline, Articles 4.1.1 and 4.2.2 apply (equivalent containers based on capacity/manifest).</w:t>
      </w:r>
    </w:p>
    <w:p w14:paraId="1B952100" w14:textId="77777777" w:rsidR="00743B85" w:rsidRDefault="00000000">
      <w:pPr>
        <w:pStyle w:val="Heading3"/>
      </w:pPr>
      <w:r>
        <w:t>4.2.3 Storage services for cargo not moved by train</w:t>
      </w:r>
    </w:p>
    <w:p w14:paraId="431FC801" w14:textId="77777777" w:rsidR="00743B85" w:rsidRPr="002C1F0F" w:rsidRDefault="00000000">
      <w:pPr>
        <w:rPr>
          <w:b/>
          <w:bCs/>
        </w:rPr>
      </w:pPr>
      <w:r w:rsidRPr="002C1F0F">
        <w:rPr>
          <w:b/>
          <w:bCs/>
        </w:rPr>
        <w:t>Container storage – Euro per container slot per calendar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743B85" w14:paraId="0ABCA22B" w14:textId="77777777" w:rsidTr="00DC65EE">
        <w:tc>
          <w:tcPr>
            <w:tcW w:w="2880" w:type="dxa"/>
          </w:tcPr>
          <w:p w14:paraId="3548A163" w14:textId="77777777" w:rsidR="00743B85" w:rsidRPr="00DC65EE" w:rsidRDefault="00000000">
            <w:pPr>
              <w:rPr>
                <w:b/>
                <w:bCs/>
              </w:rPr>
            </w:pPr>
            <w:r w:rsidRPr="00DC65EE">
              <w:rPr>
                <w:b/>
                <w:bCs/>
              </w:rPr>
              <w:t>Stay period</w:t>
            </w:r>
          </w:p>
        </w:tc>
        <w:tc>
          <w:tcPr>
            <w:tcW w:w="2880" w:type="dxa"/>
          </w:tcPr>
          <w:p w14:paraId="3E641055" w14:textId="77777777" w:rsidR="00743B85" w:rsidRPr="00DC65EE" w:rsidRDefault="00000000" w:rsidP="00DC65EE">
            <w:pPr>
              <w:jc w:val="center"/>
              <w:rPr>
                <w:b/>
                <w:bCs/>
              </w:rPr>
            </w:pPr>
            <w:r w:rsidRPr="00DC65EE">
              <w:rPr>
                <w:b/>
                <w:bCs/>
              </w:rPr>
              <w:t>≤ 20 ft</w:t>
            </w:r>
          </w:p>
        </w:tc>
        <w:tc>
          <w:tcPr>
            <w:tcW w:w="2880" w:type="dxa"/>
          </w:tcPr>
          <w:p w14:paraId="1FD35DA7" w14:textId="77777777" w:rsidR="00743B85" w:rsidRPr="00DC65EE" w:rsidRDefault="00000000" w:rsidP="00DC65EE">
            <w:pPr>
              <w:jc w:val="center"/>
              <w:rPr>
                <w:b/>
                <w:bCs/>
              </w:rPr>
            </w:pPr>
            <w:r w:rsidRPr="00DC65EE">
              <w:rPr>
                <w:b/>
                <w:bCs/>
              </w:rPr>
              <w:t>&gt; 20 ft</w:t>
            </w:r>
          </w:p>
        </w:tc>
      </w:tr>
      <w:tr w:rsidR="00743B85" w14:paraId="643B9922" w14:textId="77777777" w:rsidTr="00DC65EE">
        <w:tc>
          <w:tcPr>
            <w:tcW w:w="2880" w:type="dxa"/>
          </w:tcPr>
          <w:p w14:paraId="01A5FE94" w14:textId="77777777" w:rsidR="00743B85" w:rsidRPr="00DC65EE" w:rsidRDefault="00000000">
            <w:pPr>
              <w:rPr>
                <w:b/>
                <w:bCs/>
              </w:rPr>
            </w:pPr>
            <w:r w:rsidRPr="00DC65EE">
              <w:rPr>
                <w:b/>
                <w:bCs/>
              </w:rPr>
              <w:t>First 5 days (continuous stay)</w:t>
            </w:r>
          </w:p>
        </w:tc>
        <w:tc>
          <w:tcPr>
            <w:tcW w:w="2880" w:type="dxa"/>
          </w:tcPr>
          <w:p w14:paraId="582414A8" w14:textId="77777777" w:rsidR="00743B85" w:rsidRDefault="00000000" w:rsidP="00823DF0">
            <w:pPr>
              <w:jc w:val="center"/>
            </w:pPr>
            <w:r>
              <w:t>3,50</w:t>
            </w:r>
          </w:p>
        </w:tc>
        <w:tc>
          <w:tcPr>
            <w:tcW w:w="2880" w:type="dxa"/>
          </w:tcPr>
          <w:p w14:paraId="7B396744" w14:textId="77777777" w:rsidR="00743B85" w:rsidRDefault="00000000" w:rsidP="00823DF0">
            <w:pPr>
              <w:jc w:val="center"/>
            </w:pPr>
            <w:r>
              <w:t>7,90</w:t>
            </w:r>
          </w:p>
        </w:tc>
      </w:tr>
      <w:tr w:rsidR="00743B85" w14:paraId="33126EEF" w14:textId="77777777" w:rsidTr="00DC65EE">
        <w:tc>
          <w:tcPr>
            <w:tcW w:w="2880" w:type="dxa"/>
          </w:tcPr>
          <w:p w14:paraId="5D6E89E3" w14:textId="77777777" w:rsidR="00743B85" w:rsidRPr="00DC65EE" w:rsidRDefault="00000000">
            <w:pPr>
              <w:rPr>
                <w:b/>
                <w:bCs/>
              </w:rPr>
            </w:pPr>
            <w:r w:rsidRPr="00DC65EE">
              <w:rPr>
                <w:b/>
                <w:bCs/>
              </w:rPr>
              <w:t>Beyond 5 days</w:t>
            </w:r>
          </w:p>
        </w:tc>
        <w:tc>
          <w:tcPr>
            <w:tcW w:w="2880" w:type="dxa"/>
          </w:tcPr>
          <w:p w14:paraId="74ACAFD0" w14:textId="77777777" w:rsidR="00743B85" w:rsidRDefault="00000000" w:rsidP="00823DF0">
            <w:pPr>
              <w:jc w:val="center"/>
            </w:pPr>
            <w:r>
              <w:t>7,00</w:t>
            </w:r>
          </w:p>
        </w:tc>
        <w:tc>
          <w:tcPr>
            <w:tcW w:w="2880" w:type="dxa"/>
          </w:tcPr>
          <w:p w14:paraId="1FE1C36A" w14:textId="77777777" w:rsidR="00743B85" w:rsidRDefault="00000000" w:rsidP="00823DF0">
            <w:pPr>
              <w:jc w:val="center"/>
            </w:pPr>
            <w:r>
              <w:t>15,40</w:t>
            </w:r>
          </w:p>
        </w:tc>
      </w:tr>
    </w:tbl>
    <w:p w14:paraId="65368DDB" w14:textId="77777777" w:rsidR="00743B85" w:rsidRDefault="00000000">
      <w:r>
        <w:t>All prices are subject to VAT.</w:t>
      </w:r>
    </w:p>
    <w:p w14:paraId="78ECEBE3" w14:textId="77777777" w:rsidR="00743B85" w:rsidRDefault="00000000">
      <w:r>
        <w:t>Note: The first 5 days are charged as a lump sum (minimum charge equal to a 5-day stay).</w:t>
      </w:r>
    </w:p>
    <w:p w14:paraId="342261CC" w14:textId="77777777" w:rsidR="00743B85" w:rsidRDefault="00000000">
      <w:r>
        <w:t>Each slot in the stacking area can accommodate up to 3 containers stacked one above the other, except in special cases (e.g., very high weight or special cargo).</w:t>
      </w:r>
    </w:p>
    <w:p w14:paraId="260E8C2E" w14:textId="77777777" w:rsidR="00743B85" w:rsidRDefault="00000000">
      <w:r>
        <w:lastRenderedPageBreak/>
        <w:t>The storage period for containers starts at 12:00 on the day the first container is unloaded and placed in the Railway Station stacking area.</w:t>
      </w:r>
    </w:p>
    <w:p w14:paraId="1724759D" w14:textId="77777777" w:rsidR="00743B85" w:rsidRDefault="00000000">
      <w:r>
        <w:t>Storage fees are calculated indivisibly for the maximum number of containers for which the Customer has requested space reservation, even if not all containers arrive simultaneously, for each calendar day until 12:00 on the delivery day.</w:t>
      </w:r>
    </w:p>
    <w:p w14:paraId="6CC0C4A6" w14:textId="77777777" w:rsidR="00743B85" w:rsidRDefault="00000000">
      <w:r>
        <w:t>The delivery day is counted if the removal of the last container exceeds 12:00.</w:t>
      </w:r>
    </w:p>
    <w:p w14:paraId="3A45127C" w14:textId="77777777" w:rsidR="00743B85" w:rsidRDefault="00000000">
      <w:pPr>
        <w:pStyle w:val="Heading2"/>
      </w:pPr>
      <w:r>
        <w:t>4.3 STORAGE SERVICES FOR GENERAL CARGO</w:t>
      </w:r>
    </w:p>
    <w:p w14:paraId="06E2F465" w14:textId="77777777" w:rsidR="00743B85" w:rsidRPr="002C1F0F" w:rsidRDefault="00000000">
      <w:pPr>
        <w:rPr>
          <w:b/>
          <w:bCs/>
        </w:rPr>
      </w:pPr>
      <w:r w:rsidRPr="002C1F0F">
        <w:rPr>
          <w:b/>
          <w:bCs/>
        </w:rPr>
        <w:t xml:space="preserve">Storage per calendar day per </w:t>
      </w:r>
      <w:proofErr w:type="spellStart"/>
      <w:r w:rsidRPr="002C1F0F">
        <w:rPr>
          <w:b/>
          <w:bCs/>
        </w:rPr>
        <w:t>tonne</w:t>
      </w:r>
      <w:proofErr w:type="spellEnd"/>
      <w:r w:rsidRPr="002C1F0F">
        <w:rPr>
          <w:b/>
          <w:bCs/>
        </w:rPr>
        <w:t xml:space="preserve"> for general cargo</w:t>
      </w:r>
    </w:p>
    <w:p w14:paraId="4BC675E5" w14:textId="77777777" w:rsidR="00743B85" w:rsidRDefault="00000000">
      <w:r>
        <w:t xml:space="preserve">The Railway Station loading/unloading area primarily serves containers. For the storage of </w:t>
      </w:r>
      <w:proofErr w:type="spellStart"/>
      <w:r>
        <w:t>palletised</w:t>
      </w:r>
      <w:proofErr w:type="spellEnd"/>
      <w:r>
        <w:t xml:space="preserve"> cargo, the charges below apply and the Railway Station operating terms shall be observed.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743B85" w14:paraId="59F25AE2" w14:textId="77777777" w:rsidTr="00E6196A">
        <w:tc>
          <w:tcPr>
            <w:tcW w:w="4320" w:type="dxa"/>
          </w:tcPr>
          <w:p w14:paraId="17A5BCAB" w14:textId="77777777" w:rsidR="00743B85" w:rsidRPr="00E6196A" w:rsidRDefault="00000000">
            <w:pPr>
              <w:rPr>
                <w:b/>
                <w:bCs/>
              </w:rPr>
            </w:pPr>
            <w:r w:rsidRPr="00E6196A">
              <w:rPr>
                <w:b/>
                <w:bCs/>
              </w:rPr>
              <w:t>General cargo storage days</w:t>
            </w:r>
          </w:p>
        </w:tc>
        <w:tc>
          <w:tcPr>
            <w:tcW w:w="4320" w:type="dxa"/>
          </w:tcPr>
          <w:p w14:paraId="4C43A3DE" w14:textId="77777777" w:rsidR="00743B85" w:rsidRPr="00E6196A" w:rsidRDefault="00000000" w:rsidP="00E6196A">
            <w:pPr>
              <w:jc w:val="center"/>
              <w:rPr>
                <w:b/>
                <w:bCs/>
              </w:rPr>
            </w:pPr>
            <w:r w:rsidRPr="00E6196A">
              <w:rPr>
                <w:b/>
                <w:bCs/>
              </w:rPr>
              <w:t xml:space="preserve">Euro per calendar day per </w:t>
            </w:r>
            <w:proofErr w:type="spellStart"/>
            <w:r w:rsidRPr="00E6196A">
              <w:rPr>
                <w:b/>
                <w:bCs/>
              </w:rPr>
              <w:t>tonne</w:t>
            </w:r>
            <w:proofErr w:type="spellEnd"/>
          </w:p>
        </w:tc>
      </w:tr>
      <w:tr w:rsidR="00743B85" w14:paraId="2A301DA4" w14:textId="77777777" w:rsidTr="00E6196A">
        <w:tc>
          <w:tcPr>
            <w:tcW w:w="4320" w:type="dxa"/>
          </w:tcPr>
          <w:p w14:paraId="419564C5" w14:textId="77777777" w:rsidR="00743B85" w:rsidRPr="00E6196A" w:rsidRDefault="00000000">
            <w:pPr>
              <w:rPr>
                <w:b/>
                <w:bCs/>
              </w:rPr>
            </w:pPr>
            <w:r w:rsidRPr="00E6196A">
              <w:rPr>
                <w:b/>
                <w:bCs/>
              </w:rPr>
              <w:t>1 – 30</w:t>
            </w:r>
          </w:p>
        </w:tc>
        <w:tc>
          <w:tcPr>
            <w:tcW w:w="4320" w:type="dxa"/>
          </w:tcPr>
          <w:p w14:paraId="1B47BD26" w14:textId="77777777" w:rsidR="00743B85" w:rsidRDefault="00000000" w:rsidP="00E6196A">
            <w:pPr>
              <w:jc w:val="center"/>
            </w:pPr>
            <w:r>
              <w:t>0,28</w:t>
            </w:r>
          </w:p>
        </w:tc>
      </w:tr>
      <w:tr w:rsidR="00743B85" w14:paraId="7DB9FC92" w14:textId="77777777" w:rsidTr="00E6196A">
        <w:tc>
          <w:tcPr>
            <w:tcW w:w="4320" w:type="dxa"/>
          </w:tcPr>
          <w:p w14:paraId="12EDF752" w14:textId="77777777" w:rsidR="00743B85" w:rsidRPr="00E6196A" w:rsidRDefault="00000000">
            <w:pPr>
              <w:rPr>
                <w:b/>
                <w:bCs/>
              </w:rPr>
            </w:pPr>
            <w:r w:rsidRPr="00E6196A">
              <w:rPr>
                <w:b/>
                <w:bCs/>
              </w:rPr>
              <w:t>31 – 60</w:t>
            </w:r>
          </w:p>
        </w:tc>
        <w:tc>
          <w:tcPr>
            <w:tcW w:w="4320" w:type="dxa"/>
          </w:tcPr>
          <w:p w14:paraId="4E35B6FE" w14:textId="77777777" w:rsidR="00743B85" w:rsidRDefault="00000000" w:rsidP="00E6196A">
            <w:pPr>
              <w:jc w:val="center"/>
            </w:pPr>
            <w:r>
              <w:t>0,43</w:t>
            </w:r>
          </w:p>
        </w:tc>
      </w:tr>
      <w:tr w:rsidR="00743B85" w14:paraId="3124CCF1" w14:textId="77777777" w:rsidTr="00E6196A">
        <w:tc>
          <w:tcPr>
            <w:tcW w:w="4320" w:type="dxa"/>
          </w:tcPr>
          <w:p w14:paraId="631B661F" w14:textId="77777777" w:rsidR="00743B85" w:rsidRPr="00E6196A" w:rsidRDefault="00000000">
            <w:pPr>
              <w:rPr>
                <w:b/>
                <w:bCs/>
              </w:rPr>
            </w:pPr>
            <w:r w:rsidRPr="00E6196A">
              <w:rPr>
                <w:b/>
                <w:bCs/>
              </w:rPr>
              <w:t>Beyond 60</w:t>
            </w:r>
          </w:p>
        </w:tc>
        <w:tc>
          <w:tcPr>
            <w:tcW w:w="4320" w:type="dxa"/>
          </w:tcPr>
          <w:p w14:paraId="2D29A17C" w14:textId="77777777" w:rsidR="00743B85" w:rsidRDefault="00000000" w:rsidP="00E6196A">
            <w:pPr>
              <w:jc w:val="center"/>
            </w:pPr>
            <w:r>
              <w:t>0,56</w:t>
            </w:r>
          </w:p>
        </w:tc>
      </w:tr>
    </w:tbl>
    <w:p w14:paraId="6BD70A8C" w14:textId="77777777" w:rsidR="00743B85" w:rsidRDefault="00000000">
      <w:r>
        <w:t>All prices are subject to VAT.</w:t>
      </w:r>
    </w:p>
    <w:p w14:paraId="33BC8443" w14:textId="77777777" w:rsidR="00743B85" w:rsidRDefault="00000000">
      <w:pPr>
        <w:pStyle w:val="Heading2"/>
      </w:pPr>
      <w:r>
        <w:t>4.4 SPECIAL CARGO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743B85" w14:paraId="241519CD" w14:textId="77777777" w:rsidTr="00DC65EE">
        <w:tc>
          <w:tcPr>
            <w:tcW w:w="4320" w:type="dxa"/>
          </w:tcPr>
          <w:p w14:paraId="622ACB4A" w14:textId="77777777" w:rsidR="00743B85" w:rsidRPr="00DC65EE" w:rsidRDefault="00000000">
            <w:pPr>
              <w:rPr>
                <w:b/>
                <w:bCs/>
              </w:rPr>
            </w:pPr>
            <w:r w:rsidRPr="00DC65EE">
              <w:rPr>
                <w:b/>
                <w:bCs/>
              </w:rPr>
              <w:t>Special / oversized cargo</w:t>
            </w:r>
          </w:p>
        </w:tc>
        <w:tc>
          <w:tcPr>
            <w:tcW w:w="4320" w:type="dxa"/>
          </w:tcPr>
          <w:p w14:paraId="1EC5C4A1" w14:textId="77777777" w:rsidR="00743B85" w:rsidRPr="00DC65EE" w:rsidRDefault="00000000" w:rsidP="00A538C5">
            <w:pPr>
              <w:jc w:val="center"/>
              <w:rPr>
                <w:b/>
                <w:bCs/>
              </w:rPr>
            </w:pPr>
            <w:r w:rsidRPr="00DC65EE">
              <w:rPr>
                <w:b/>
                <w:bCs/>
              </w:rPr>
              <w:t>Euro per calendar day</w:t>
            </w:r>
          </w:p>
        </w:tc>
      </w:tr>
      <w:tr w:rsidR="00743B85" w14:paraId="2E56EBAF" w14:textId="77777777" w:rsidTr="00DC65EE">
        <w:tc>
          <w:tcPr>
            <w:tcW w:w="4320" w:type="dxa"/>
          </w:tcPr>
          <w:p w14:paraId="588B819F" w14:textId="77777777" w:rsidR="00743B85" w:rsidRPr="00DC65EE" w:rsidRDefault="00000000">
            <w:pPr>
              <w:rPr>
                <w:b/>
                <w:bCs/>
              </w:rPr>
            </w:pPr>
            <w:r w:rsidRPr="00DC65EE">
              <w:rPr>
                <w:b/>
                <w:bCs/>
              </w:rPr>
              <w:t xml:space="preserve">Special cargo other than containers and oversized cargo, per </w:t>
            </w:r>
            <w:proofErr w:type="spellStart"/>
            <w:proofErr w:type="gramStart"/>
            <w:r w:rsidRPr="00DC65EE">
              <w:rPr>
                <w:b/>
                <w:bCs/>
              </w:rPr>
              <w:t>tonne</w:t>
            </w:r>
            <w:proofErr w:type="spellEnd"/>
            <w:proofErr w:type="gramEnd"/>
            <w:r w:rsidRPr="00DC65EE">
              <w:rPr>
                <w:b/>
                <w:bCs/>
              </w:rPr>
              <w:t>, from the first day</w:t>
            </w:r>
          </w:p>
        </w:tc>
        <w:tc>
          <w:tcPr>
            <w:tcW w:w="4320" w:type="dxa"/>
          </w:tcPr>
          <w:p w14:paraId="7AF89AC8" w14:textId="77777777" w:rsidR="00743B85" w:rsidRDefault="00000000" w:rsidP="00A538C5">
            <w:pPr>
              <w:jc w:val="center"/>
            </w:pPr>
            <w:r>
              <w:t>2,50</w:t>
            </w:r>
          </w:p>
        </w:tc>
      </w:tr>
      <w:tr w:rsidR="00743B85" w14:paraId="0983F7EA" w14:textId="77777777" w:rsidTr="00DC65EE">
        <w:tc>
          <w:tcPr>
            <w:tcW w:w="4320" w:type="dxa"/>
          </w:tcPr>
          <w:p w14:paraId="579C6A52" w14:textId="77777777" w:rsidR="00743B85" w:rsidRPr="00DC65EE" w:rsidRDefault="00000000">
            <w:pPr>
              <w:rPr>
                <w:b/>
                <w:bCs/>
              </w:rPr>
            </w:pPr>
            <w:r w:rsidRPr="00DC65EE">
              <w:rPr>
                <w:b/>
                <w:bCs/>
              </w:rPr>
              <w:t>Dangerous goods (Import/Export) for permitted RID classes</w:t>
            </w:r>
          </w:p>
        </w:tc>
        <w:tc>
          <w:tcPr>
            <w:tcW w:w="4320" w:type="dxa"/>
          </w:tcPr>
          <w:p w14:paraId="26A7AC26" w14:textId="77777777" w:rsidR="00743B85" w:rsidRDefault="00000000" w:rsidP="00A538C5">
            <w:pPr>
              <w:jc w:val="center"/>
            </w:pPr>
            <w:r>
              <w:t>Surcharge 50% on the prices for loaded containers and general cargo</w:t>
            </w:r>
          </w:p>
        </w:tc>
      </w:tr>
    </w:tbl>
    <w:p w14:paraId="26CA71C6" w14:textId="77777777" w:rsidR="00743B85" w:rsidRDefault="00000000">
      <w:r>
        <w:t>All prices are subject to VAT.</w:t>
      </w:r>
    </w:p>
    <w:p w14:paraId="3F7B8163" w14:textId="77777777" w:rsidR="00743B85" w:rsidRDefault="00000000">
      <w:r>
        <w:t>DEPPATHE allows the storage of cargo in RID classes 2–6 and RID 8–9.</w:t>
      </w:r>
    </w:p>
    <w:p w14:paraId="001F7F3F" w14:textId="77777777" w:rsidR="00743B85" w:rsidRDefault="00000000">
      <w:r>
        <w:t>Containers with RID waste that are not accepted for storage may be handled directly from/to train.</w:t>
      </w:r>
    </w:p>
    <w:p w14:paraId="536143EA" w14:textId="77777777" w:rsidR="00743B85" w:rsidRDefault="00000000">
      <w:r>
        <w:lastRenderedPageBreak/>
        <w:t xml:space="preserve">Cargo in RID classes 1 and RID 7 </w:t>
      </w:r>
      <w:proofErr w:type="gramStart"/>
      <w:r>
        <w:t>is</w:t>
      </w:r>
      <w:proofErr w:type="gramEnd"/>
      <w:r>
        <w:t xml:space="preserve"> not accepted for </w:t>
      </w:r>
      <w:proofErr w:type="gramStart"/>
      <w:r>
        <w:t>storage, but</w:t>
      </w:r>
      <w:proofErr w:type="gramEnd"/>
      <w:r>
        <w:t xml:space="preserve"> may be handled directly from/to train.</w:t>
      </w:r>
    </w:p>
    <w:p w14:paraId="55775268" w14:textId="77777777" w:rsidR="00743B85" w:rsidRDefault="00000000">
      <w:r>
        <w:t>Armed forces cargo in RID class 1 may be handled directly from/to train.</w:t>
      </w:r>
    </w:p>
    <w:p w14:paraId="5DA1454F" w14:textId="77777777" w:rsidR="00743B85" w:rsidRDefault="00000000">
      <w:r>
        <w:t>The start of the storage period is defined in paragraph 3.1.</w:t>
      </w:r>
    </w:p>
    <w:p w14:paraId="0EECC643" w14:textId="77777777" w:rsidR="00743B85" w:rsidRDefault="00000000">
      <w:r>
        <w:t>In the case of an oversized RID container, the Dangerous Goods surcharge also applies.</w:t>
      </w:r>
    </w:p>
    <w:p w14:paraId="2C7EB4A9" w14:textId="77777777" w:rsidR="00743B85" w:rsidRDefault="00000000">
      <w:r>
        <w:t>DEPPATHE shall neither handle nor store dangerous goods that are not permitted under applicable Greek legislation and regulations.</w:t>
      </w:r>
    </w:p>
    <w:p w14:paraId="13E57357" w14:textId="77777777" w:rsidR="00743B85" w:rsidRDefault="00000000">
      <w:pPr>
        <w:pStyle w:val="Heading1"/>
      </w:pPr>
      <w:r>
        <w:t>5. CHARGE 3: DELAYS / CANCELLATION OF OPERATION</w:t>
      </w:r>
    </w:p>
    <w:p w14:paraId="64869011" w14:textId="77777777" w:rsidR="00743B85" w:rsidRPr="002C1F0F" w:rsidRDefault="00000000">
      <w:pPr>
        <w:rPr>
          <w:b/>
          <w:bCs/>
        </w:rPr>
      </w:pPr>
      <w:r w:rsidRPr="002C1F0F">
        <w:rPr>
          <w:b/>
          <w:bCs/>
        </w:rPr>
        <w:t>5.0 Charging basis and application of surcharges</w:t>
      </w:r>
    </w:p>
    <w:p w14:paraId="1951D69C" w14:textId="77777777" w:rsidR="00743B85" w:rsidRDefault="00000000">
      <w:r>
        <w:t>Charging basis: As a rule, the charging basis is the Documentation Fee of Article 4.1 (20,00 € per use per wagon).</w:t>
      </w:r>
    </w:p>
    <w:p w14:paraId="73A2F0DE" w14:textId="77777777" w:rsidR="00743B85" w:rsidRDefault="00000000">
      <w:r>
        <w:t>Special cases of pricing per train: When, due to special conditions, service is agreed at a price per train, the agreed price per train is used as the charging basis.</w:t>
      </w:r>
    </w:p>
    <w:p w14:paraId="4CFF5874" w14:textId="77777777" w:rsidR="00743B85" w:rsidRDefault="00000000">
      <w:r>
        <w:t>Surcharges: Surcharges due to delays / late performance / cancellation are imposed on the applicable charging basis (per wagon or per train, as applicable).</w:t>
      </w:r>
    </w:p>
    <w:p w14:paraId="29ABAF4D" w14:textId="5A51F442" w:rsidR="00743B85" w:rsidRDefault="00000000">
      <w:r>
        <w:t>All prices are subject to VAT.</w:t>
      </w:r>
    </w:p>
    <w:p w14:paraId="1213797B" w14:textId="77777777" w:rsidR="00743B85" w:rsidRDefault="00000000">
      <w:pPr>
        <w:pStyle w:val="Heading2"/>
      </w:pPr>
      <w:r>
        <w:t>5.1 Delay / Rescheduling of Arrival</w:t>
      </w:r>
    </w:p>
    <w:p w14:paraId="1028172A" w14:textId="77777777" w:rsidR="00743B85" w:rsidRDefault="00000000">
      <w:r w:rsidRPr="00E6196A">
        <w:rPr>
          <w:b/>
          <w:bCs/>
        </w:rPr>
        <w:t>Documentation Fee (charging basis): 20,00 € / wagon / use (</w:t>
      </w:r>
      <w:r>
        <w:t>Article 4.1), unless a price per train has been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743B85" w14:paraId="7BD8B779" w14:textId="77777777" w:rsidTr="00A538C5">
        <w:tc>
          <w:tcPr>
            <w:tcW w:w="4320" w:type="dxa"/>
          </w:tcPr>
          <w:p w14:paraId="6D0D5190" w14:textId="77777777" w:rsidR="00743B85" w:rsidRPr="00A538C5" w:rsidRDefault="00000000">
            <w:pPr>
              <w:rPr>
                <w:b/>
                <w:bCs/>
              </w:rPr>
            </w:pPr>
            <w:r w:rsidRPr="00A538C5">
              <w:rPr>
                <w:b/>
                <w:bCs/>
              </w:rPr>
              <w:t>Category</w:t>
            </w:r>
          </w:p>
        </w:tc>
        <w:tc>
          <w:tcPr>
            <w:tcW w:w="4320" w:type="dxa"/>
          </w:tcPr>
          <w:p w14:paraId="32FF0111" w14:textId="77777777" w:rsidR="00743B85" w:rsidRPr="00A538C5" w:rsidRDefault="00000000">
            <w:pPr>
              <w:rPr>
                <w:b/>
                <w:bCs/>
              </w:rPr>
            </w:pPr>
            <w:r w:rsidRPr="00A538C5">
              <w:rPr>
                <w:b/>
                <w:bCs/>
              </w:rPr>
              <w:t>Charge</w:t>
            </w:r>
          </w:p>
        </w:tc>
      </w:tr>
      <w:tr w:rsidR="00743B85" w14:paraId="0A27EB75" w14:textId="77777777" w:rsidTr="00A538C5">
        <w:tc>
          <w:tcPr>
            <w:tcW w:w="4320" w:type="dxa"/>
          </w:tcPr>
          <w:p w14:paraId="4403960B" w14:textId="77777777" w:rsidR="00743B85" w:rsidRPr="00A538C5" w:rsidRDefault="00000000">
            <w:pPr>
              <w:rPr>
                <w:b/>
                <w:bCs/>
              </w:rPr>
            </w:pPr>
            <w:r w:rsidRPr="00A538C5">
              <w:rPr>
                <w:b/>
                <w:bCs/>
              </w:rPr>
              <w:t>Declared Late Arrivals</w:t>
            </w:r>
          </w:p>
        </w:tc>
        <w:tc>
          <w:tcPr>
            <w:tcW w:w="4320" w:type="dxa"/>
          </w:tcPr>
          <w:p w14:paraId="589FEBDA" w14:textId="77777777" w:rsidR="00743B85" w:rsidRDefault="00000000">
            <w:r w:rsidRPr="00A538C5">
              <w:rPr>
                <w:b/>
                <w:bCs/>
              </w:rPr>
              <w:t>Surcharge 25%</w:t>
            </w:r>
            <w:r>
              <w:t xml:space="preserve"> on the charging basis (i.e., 25,00 € / wagon, or +25% on the agreed price per train)</w:t>
            </w:r>
          </w:p>
        </w:tc>
      </w:tr>
      <w:tr w:rsidR="00743B85" w14:paraId="5909BBD9" w14:textId="77777777" w:rsidTr="00A538C5">
        <w:tc>
          <w:tcPr>
            <w:tcW w:w="4320" w:type="dxa"/>
          </w:tcPr>
          <w:p w14:paraId="38809224" w14:textId="77777777" w:rsidR="00743B85" w:rsidRPr="00A538C5" w:rsidRDefault="00000000">
            <w:pPr>
              <w:rPr>
                <w:b/>
                <w:bCs/>
              </w:rPr>
            </w:pPr>
            <w:r w:rsidRPr="00A538C5">
              <w:rPr>
                <w:b/>
                <w:bCs/>
              </w:rPr>
              <w:t>Undeclared Late Arrivals</w:t>
            </w:r>
          </w:p>
        </w:tc>
        <w:tc>
          <w:tcPr>
            <w:tcW w:w="4320" w:type="dxa"/>
          </w:tcPr>
          <w:p w14:paraId="3773301E" w14:textId="77777777" w:rsidR="00743B85" w:rsidRDefault="00000000">
            <w:r w:rsidRPr="00A538C5">
              <w:rPr>
                <w:b/>
                <w:bCs/>
              </w:rPr>
              <w:t>40,00 € / wagon</w:t>
            </w:r>
            <w:r>
              <w:t xml:space="preserve"> (or, if a price per train has been agreed, +300,00 € per train, unless otherwise stated in the offer)</w:t>
            </w:r>
          </w:p>
        </w:tc>
      </w:tr>
    </w:tbl>
    <w:p w14:paraId="65786293" w14:textId="77777777" w:rsidR="00743B85" w:rsidRDefault="00000000">
      <w:r>
        <w:t>All prices are subject to VAT.</w:t>
      </w:r>
    </w:p>
    <w:p w14:paraId="566A8D13" w14:textId="77777777" w:rsidR="00743B85" w:rsidRDefault="00000000">
      <w:r>
        <w:lastRenderedPageBreak/>
        <w:t>To be considered a Declared Late Arrival, a new arrival date must be notified to DEPPATHE no later than 2 working days before the scheduled arrival date; otherwise, it is deemed Undeclared.</w:t>
      </w:r>
    </w:p>
    <w:p w14:paraId="50B2EC6A" w14:textId="77777777" w:rsidR="00743B85" w:rsidRDefault="00000000">
      <w:r>
        <w:t>Notes:</w:t>
      </w:r>
    </w:p>
    <w:p w14:paraId="7B248887" w14:textId="77777777" w:rsidR="00743B85" w:rsidRDefault="00000000">
      <w:r>
        <w:t>The General Terms of the Railway Station apply, pursuant to which the Customer must notify DEPPATHE of a regular or extraordinary service at least 5 working days before arrival at the Railway Station (General Terms, Article 6b). Failure to notify is equivalent to an Undeclared Late Arrival and the respective charges apply.</w:t>
      </w:r>
    </w:p>
    <w:p w14:paraId="4396A412" w14:textId="77777777" w:rsidR="00743B85" w:rsidRDefault="00000000">
      <w:r>
        <w:t>DEPPATHE is not responsible if it cannot accommodate a Declared Late Arrival on another date due to Railway Station workload. Rescheduling is carried out only subject to Railway Station availability so that other users are not affected.</w:t>
      </w:r>
    </w:p>
    <w:p w14:paraId="18ACB0A1" w14:textId="7B6183AF" w:rsidR="00B63FBC" w:rsidRPr="002C11F4" w:rsidRDefault="00000000">
      <w:r>
        <w:t>No delay charge applies when: (a) DEPPATHE is responsible for the delay; (b) the delay is due to weather conditions.</w:t>
      </w:r>
    </w:p>
    <w:p w14:paraId="61AD88E0" w14:textId="576A00C7" w:rsidR="00743B85" w:rsidRDefault="00000000">
      <w:pPr>
        <w:pStyle w:val="Heading2"/>
      </w:pPr>
      <w:r>
        <w:t>5.2 Cancellation of operation</w:t>
      </w:r>
    </w:p>
    <w:p w14:paraId="5968E9D7" w14:textId="77777777" w:rsidR="00743B85" w:rsidRDefault="00000000">
      <w:r>
        <w:t>Documentation Fee (charging basis): 20,00 € / wagon / use (Article 4.1), unless a price per train has been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743B85" w14:paraId="0897F0EA" w14:textId="77777777" w:rsidTr="009C4044">
        <w:tc>
          <w:tcPr>
            <w:tcW w:w="4320" w:type="dxa"/>
          </w:tcPr>
          <w:p w14:paraId="28DFCF99" w14:textId="77777777" w:rsidR="00743B85" w:rsidRPr="009C4044" w:rsidRDefault="00000000">
            <w:pPr>
              <w:rPr>
                <w:b/>
                <w:bCs/>
              </w:rPr>
            </w:pPr>
            <w:r w:rsidRPr="009C4044">
              <w:rPr>
                <w:b/>
                <w:bCs/>
              </w:rPr>
              <w:t>Category</w:t>
            </w:r>
          </w:p>
        </w:tc>
        <w:tc>
          <w:tcPr>
            <w:tcW w:w="4320" w:type="dxa"/>
          </w:tcPr>
          <w:p w14:paraId="2D2BE90A" w14:textId="77777777" w:rsidR="00743B85" w:rsidRPr="009C4044" w:rsidRDefault="00000000" w:rsidP="009C4044">
            <w:pPr>
              <w:jc w:val="center"/>
              <w:rPr>
                <w:b/>
                <w:bCs/>
              </w:rPr>
            </w:pPr>
            <w:r w:rsidRPr="009C4044">
              <w:rPr>
                <w:b/>
                <w:bCs/>
              </w:rPr>
              <w:t>Charge</w:t>
            </w:r>
          </w:p>
        </w:tc>
      </w:tr>
      <w:tr w:rsidR="00743B85" w14:paraId="54BA0743" w14:textId="77777777" w:rsidTr="009C4044">
        <w:tc>
          <w:tcPr>
            <w:tcW w:w="4320" w:type="dxa"/>
          </w:tcPr>
          <w:p w14:paraId="4801F109" w14:textId="77777777" w:rsidR="00743B85" w:rsidRPr="009C4044" w:rsidRDefault="00000000">
            <w:pPr>
              <w:rPr>
                <w:b/>
                <w:bCs/>
              </w:rPr>
            </w:pPr>
            <w:r w:rsidRPr="009C4044">
              <w:rPr>
                <w:b/>
                <w:bCs/>
              </w:rPr>
              <w:t>Declared Cancellations</w:t>
            </w:r>
          </w:p>
        </w:tc>
        <w:tc>
          <w:tcPr>
            <w:tcW w:w="4320" w:type="dxa"/>
          </w:tcPr>
          <w:p w14:paraId="0D88D0AC" w14:textId="77777777" w:rsidR="00743B85" w:rsidRDefault="00000000" w:rsidP="009C4044">
            <w:pPr>
              <w:jc w:val="center"/>
            </w:pPr>
            <w:r w:rsidRPr="009C4044">
              <w:rPr>
                <w:b/>
                <w:bCs/>
              </w:rPr>
              <w:t>Charge 25%</w:t>
            </w:r>
            <w:r>
              <w:t xml:space="preserve"> </w:t>
            </w:r>
            <w:proofErr w:type="gramStart"/>
            <w:r>
              <w:t>of</w:t>
            </w:r>
            <w:proofErr w:type="gramEnd"/>
            <w:r>
              <w:t xml:space="preserve"> the charging basis (i.e., 5,00 € / wagon, or 25% of the agreed price per train)</w:t>
            </w:r>
          </w:p>
        </w:tc>
      </w:tr>
      <w:tr w:rsidR="00743B85" w14:paraId="1C9E562F" w14:textId="77777777" w:rsidTr="009C4044">
        <w:tc>
          <w:tcPr>
            <w:tcW w:w="4320" w:type="dxa"/>
          </w:tcPr>
          <w:p w14:paraId="7FB578B1" w14:textId="77777777" w:rsidR="00743B85" w:rsidRPr="009C4044" w:rsidRDefault="00000000">
            <w:pPr>
              <w:rPr>
                <w:b/>
                <w:bCs/>
              </w:rPr>
            </w:pPr>
            <w:r w:rsidRPr="009C4044">
              <w:rPr>
                <w:b/>
                <w:bCs/>
              </w:rPr>
              <w:t>Undeclared Cancellations</w:t>
            </w:r>
          </w:p>
        </w:tc>
        <w:tc>
          <w:tcPr>
            <w:tcW w:w="4320" w:type="dxa"/>
          </w:tcPr>
          <w:p w14:paraId="6FE418F5" w14:textId="77777777" w:rsidR="00743B85" w:rsidRDefault="00000000" w:rsidP="009C4044">
            <w:pPr>
              <w:jc w:val="center"/>
            </w:pPr>
            <w:r w:rsidRPr="009C4044">
              <w:rPr>
                <w:b/>
                <w:bCs/>
              </w:rPr>
              <w:t>Charge 50%</w:t>
            </w:r>
            <w:r>
              <w:t xml:space="preserve"> of the charging basis (i.e., 10,00 € / wagon, or 50% of the agreed price per train), unless otherwise stated in the offer</w:t>
            </w:r>
          </w:p>
        </w:tc>
      </w:tr>
    </w:tbl>
    <w:p w14:paraId="015D0133" w14:textId="77777777" w:rsidR="00743B85" w:rsidRDefault="00000000">
      <w:r>
        <w:t>All prices are subject to VAT.</w:t>
      </w:r>
    </w:p>
    <w:p w14:paraId="6803B6E0" w14:textId="77777777" w:rsidR="00743B85" w:rsidRDefault="00000000">
      <w:r>
        <w:t>To be considered a Declared Cancellation, DEPPATHE must be notified no later than 2 working days before the scheduled arrival date; otherwise, it is deemed Undeclared.</w:t>
      </w:r>
    </w:p>
    <w:p w14:paraId="718B95CD" w14:textId="77777777" w:rsidR="00743B85" w:rsidRDefault="00000000">
      <w:r>
        <w:t>Notes:</w:t>
      </w:r>
    </w:p>
    <w:p w14:paraId="12FECA65" w14:textId="77777777" w:rsidR="00743B85" w:rsidRDefault="00000000">
      <w:r>
        <w:t>The General Terms of the Railway Station apply.</w:t>
      </w:r>
    </w:p>
    <w:p w14:paraId="53A72DFA" w14:textId="77777777" w:rsidR="00743B85" w:rsidRDefault="00000000">
      <w:r>
        <w:t>No cancellation charge applies when: (a) DEPPATHE is responsible for the cancellation; (b) the cancellation is due to weather conditions.</w:t>
      </w:r>
    </w:p>
    <w:p w14:paraId="4F9BACE1" w14:textId="77777777" w:rsidR="00743B85" w:rsidRDefault="00000000">
      <w:pPr>
        <w:pStyle w:val="Heading1"/>
      </w:pPr>
      <w:r>
        <w:lastRenderedPageBreak/>
        <w:t>6. CHARGE 4: OTHER CHARGES</w:t>
      </w:r>
    </w:p>
    <w:p w14:paraId="22442482" w14:textId="77777777" w:rsidR="00743B85" w:rsidRDefault="00000000">
      <w:r>
        <w:t xml:space="preserve">Within </w:t>
      </w:r>
      <w:proofErr w:type="spellStart"/>
      <w:r>
        <w:t>EPPAThE</w:t>
      </w:r>
      <w:proofErr w:type="spellEnd"/>
      <w:r>
        <w:t xml:space="preserve"> facilities, various services may be provided depending on the needs of each Customer, indicatively and without limitation:</w:t>
      </w:r>
    </w:p>
    <w:p w14:paraId="2B3950DE" w14:textId="77777777" w:rsidR="00743B85" w:rsidRDefault="00000000">
      <w:pPr>
        <w:pStyle w:val="Heading2"/>
      </w:pPr>
      <w:r>
        <w:t>6.1 Guarding</w:t>
      </w:r>
    </w:p>
    <w:p w14:paraId="50E00C9F" w14:textId="77777777" w:rsidR="00743B85" w:rsidRDefault="00000000">
      <w:r>
        <w:t>DEPPATHE may offer additional guarding services within the Railway Station area, such as placement of a guard or 24-hour video recording of the loading/unloading area, upon the Customer’s request and charged case-by-case.</w:t>
      </w:r>
    </w:p>
    <w:p w14:paraId="3E50FD8A" w14:textId="77777777" w:rsidR="00743B85" w:rsidRDefault="00000000">
      <w:pPr>
        <w:pStyle w:val="Heading2"/>
      </w:pPr>
      <w:r>
        <w:t>6.2 Sanitary facilities</w:t>
      </w:r>
    </w:p>
    <w:p w14:paraId="441B5F70" w14:textId="77777777" w:rsidR="00743B85" w:rsidRDefault="00000000">
      <w:r>
        <w:t>Chemical toilets may be provided within the Railway Station area to facilitate personnel. Charging is case-by-case.</w:t>
      </w:r>
    </w:p>
    <w:p w14:paraId="69293064" w14:textId="77777777" w:rsidR="00743B85" w:rsidRDefault="00000000">
      <w:pPr>
        <w:pStyle w:val="Heading2"/>
      </w:pPr>
      <w:r>
        <w:t>6.3 Parking / Overnight stay of trucks</w:t>
      </w:r>
    </w:p>
    <w:p w14:paraId="6C324AF6" w14:textId="77777777" w:rsidR="00743B85" w:rsidRDefault="00000000">
      <w:r>
        <w:t>Long-term parking of the Customer’s trucks is available in the designated parking area behind the Park’s Administration Building, with use of driver facilities (overnight stay, showers, etc.). Case-by-case charges apply.</w:t>
      </w:r>
    </w:p>
    <w:sectPr w:rsidR="00743B85" w:rsidSect="00034616">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1F9C" w14:textId="77777777" w:rsidR="001D353E" w:rsidRDefault="001D353E" w:rsidP="00832622">
      <w:pPr>
        <w:spacing w:after="0" w:line="240" w:lineRule="auto"/>
      </w:pPr>
      <w:r>
        <w:separator/>
      </w:r>
    </w:p>
  </w:endnote>
  <w:endnote w:type="continuationSeparator" w:id="0">
    <w:p w14:paraId="60831B6D" w14:textId="77777777" w:rsidR="001D353E" w:rsidRDefault="001D353E" w:rsidP="00832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A58B8" w14:textId="77777777" w:rsidR="001D353E" w:rsidRDefault="001D353E" w:rsidP="00832622">
      <w:pPr>
        <w:spacing w:after="0" w:line="240" w:lineRule="auto"/>
      </w:pPr>
      <w:r>
        <w:separator/>
      </w:r>
    </w:p>
  </w:footnote>
  <w:footnote w:type="continuationSeparator" w:id="0">
    <w:p w14:paraId="6E2B2523" w14:textId="77777777" w:rsidR="001D353E" w:rsidRDefault="001D353E" w:rsidP="00832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8BA4" w14:textId="31F20E1A" w:rsidR="00514637" w:rsidRDefault="00514637">
    <w:pPr>
      <w:pStyle w:val="Header"/>
    </w:pPr>
  </w:p>
  <w:tbl>
    <w:tblPr>
      <w:tblW w:w="9356" w:type="dxa"/>
      <w:tblInd w:w="108" w:type="dxa"/>
      <w:tblLook w:val="04A0" w:firstRow="1" w:lastRow="0" w:firstColumn="1" w:lastColumn="0" w:noHBand="0" w:noVBand="1"/>
    </w:tblPr>
    <w:tblGrid>
      <w:gridCol w:w="5103"/>
      <w:gridCol w:w="2127"/>
      <w:gridCol w:w="2126"/>
    </w:tblGrid>
    <w:tr w:rsidR="00514637" w:rsidRPr="00ED10E4" w14:paraId="4F8FB80F" w14:textId="77777777" w:rsidTr="00D24A19">
      <w:trPr>
        <w:trHeight w:val="986"/>
      </w:trPr>
      <w:tc>
        <w:tcPr>
          <w:tcW w:w="5103" w:type="dxa"/>
        </w:tcPr>
        <w:p w14:paraId="3B4A5A5E" w14:textId="1AE8ED5C" w:rsidR="00514637" w:rsidRPr="00C532E2" w:rsidRDefault="00514637" w:rsidP="00514637">
          <w:pPr>
            <w:contextualSpacing/>
            <w:jc w:val="both"/>
            <w:rPr>
              <w:rFonts w:cs="Calibri"/>
              <w:b/>
              <w:bCs/>
            </w:rPr>
          </w:pPr>
          <w:r>
            <w:rPr>
              <w:noProof/>
            </w:rPr>
            <w:drawing>
              <wp:inline distT="0" distB="0" distL="0" distR="0" wp14:anchorId="74E69AC4" wp14:editId="4DCC41D2">
                <wp:extent cx="1387290" cy="533400"/>
                <wp:effectExtent l="0" t="0" r="3810" b="0"/>
                <wp:docPr id="1653164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760" cy="535503"/>
                        </a:xfrm>
                        <a:prstGeom prst="rect">
                          <a:avLst/>
                        </a:prstGeom>
                        <a:noFill/>
                        <a:ln>
                          <a:noFill/>
                        </a:ln>
                      </pic:spPr>
                    </pic:pic>
                  </a:graphicData>
                </a:graphic>
              </wp:inline>
            </w:drawing>
          </w:r>
        </w:p>
      </w:tc>
      <w:tc>
        <w:tcPr>
          <w:tcW w:w="2127" w:type="dxa"/>
          <w:vAlign w:val="bottom"/>
        </w:tcPr>
        <w:p w14:paraId="2E79982C" w14:textId="78EBD10E" w:rsidR="00514637" w:rsidRPr="00514637" w:rsidRDefault="00514637" w:rsidP="00514637">
          <w:pPr>
            <w:contextualSpacing/>
            <w:rPr>
              <w:rFonts w:cs="Calibri"/>
              <w:b/>
              <w:bCs/>
            </w:rPr>
          </w:pPr>
          <w:r>
            <w:rPr>
              <w:rFonts w:cs="Calibri"/>
              <w:b/>
              <w:bCs/>
            </w:rPr>
            <w:t>DEPPATHE SA</w:t>
          </w:r>
        </w:p>
        <w:p w14:paraId="09CFA987" w14:textId="77777777" w:rsidR="00514637" w:rsidRPr="00823DF0" w:rsidRDefault="00514637" w:rsidP="00514637">
          <w:pPr>
            <w:contextualSpacing/>
            <w:rPr>
              <w:rFonts w:cs="Calibri"/>
              <w:b/>
              <w:bCs/>
            </w:rPr>
          </w:pPr>
        </w:p>
        <w:p w14:paraId="7EA755D7" w14:textId="6399438D" w:rsidR="00514637" w:rsidRPr="00823DF0" w:rsidRDefault="00514637" w:rsidP="00514637">
          <w:pPr>
            <w:contextualSpacing/>
            <w:rPr>
              <w:sz w:val="16"/>
              <w:szCs w:val="16"/>
            </w:rPr>
          </w:pPr>
          <w:r w:rsidRPr="00514637">
            <w:rPr>
              <w:sz w:val="16"/>
              <w:szCs w:val="16"/>
              <w:lang w:val="el-GR"/>
            </w:rPr>
            <w:t>Τ</w:t>
          </w:r>
          <w:r w:rsidRPr="00823DF0">
            <w:rPr>
              <w:sz w:val="16"/>
              <w:szCs w:val="16"/>
            </w:rPr>
            <w:t>.:</w:t>
          </w:r>
          <w:r w:rsidR="008B46BC">
            <w:rPr>
              <w:sz w:val="16"/>
              <w:szCs w:val="16"/>
            </w:rPr>
            <w:t xml:space="preserve">+30 </w:t>
          </w:r>
          <w:r w:rsidRPr="00823DF0">
            <w:rPr>
              <w:sz w:val="16"/>
              <w:szCs w:val="16"/>
            </w:rPr>
            <w:t>2310-715880</w:t>
          </w:r>
        </w:p>
        <w:p w14:paraId="749502FA" w14:textId="77777777" w:rsidR="00514637" w:rsidRPr="00823DF0" w:rsidRDefault="00514637" w:rsidP="00514637">
          <w:pPr>
            <w:contextualSpacing/>
            <w:rPr>
              <w:rFonts w:cs="Calibri"/>
              <w:b/>
              <w:bCs/>
              <w:sz w:val="18"/>
              <w:szCs w:val="18"/>
            </w:rPr>
          </w:pPr>
          <w:r w:rsidRPr="004E5892">
            <w:rPr>
              <w:sz w:val="18"/>
              <w:szCs w:val="18"/>
            </w:rPr>
            <w:t>info</w:t>
          </w:r>
          <w:r w:rsidRPr="00823DF0">
            <w:rPr>
              <w:sz w:val="18"/>
              <w:szCs w:val="18"/>
            </w:rPr>
            <w:t>@</w:t>
          </w:r>
          <w:r w:rsidRPr="004E5892">
            <w:rPr>
              <w:sz w:val="18"/>
              <w:szCs w:val="18"/>
            </w:rPr>
            <w:t>deppathe</w:t>
          </w:r>
          <w:r w:rsidRPr="00823DF0">
            <w:rPr>
              <w:sz w:val="18"/>
              <w:szCs w:val="18"/>
            </w:rPr>
            <w:t>.</w:t>
          </w:r>
          <w:r w:rsidRPr="004E5892">
            <w:rPr>
              <w:sz w:val="18"/>
              <w:szCs w:val="18"/>
            </w:rPr>
            <w:t>gr</w:t>
          </w:r>
        </w:p>
      </w:tc>
      <w:tc>
        <w:tcPr>
          <w:tcW w:w="2126" w:type="dxa"/>
          <w:vAlign w:val="bottom"/>
        </w:tcPr>
        <w:p w14:paraId="13A023FD" w14:textId="146EB562" w:rsidR="00514637" w:rsidRPr="008B46BC" w:rsidRDefault="00514637" w:rsidP="00514637">
          <w:pPr>
            <w:contextualSpacing/>
            <w:rPr>
              <w:sz w:val="16"/>
              <w:szCs w:val="16"/>
            </w:rPr>
          </w:pPr>
          <w:r w:rsidRPr="00ED10E4">
            <w:rPr>
              <w:sz w:val="16"/>
              <w:szCs w:val="16"/>
            </w:rPr>
            <w:t xml:space="preserve">570 03 </w:t>
          </w:r>
          <w:r w:rsidR="008B46BC">
            <w:rPr>
              <w:sz w:val="16"/>
              <w:szCs w:val="16"/>
            </w:rPr>
            <w:t xml:space="preserve">Municipality of </w:t>
          </w:r>
          <w:proofErr w:type="spellStart"/>
          <w:r w:rsidR="008B46BC">
            <w:rPr>
              <w:sz w:val="16"/>
              <w:szCs w:val="16"/>
            </w:rPr>
            <w:t>Chalkidona</w:t>
          </w:r>
          <w:proofErr w:type="spellEnd"/>
        </w:p>
        <w:p w14:paraId="01915B6F" w14:textId="231EFE46" w:rsidR="00514637" w:rsidRPr="00ED10E4" w:rsidRDefault="00ED10E4" w:rsidP="00514637">
          <w:pPr>
            <w:contextualSpacing/>
            <w:rPr>
              <w:sz w:val="16"/>
              <w:szCs w:val="16"/>
            </w:rPr>
          </w:pPr>
          <w:r>
            <w:rPr>
              <w:sz w:val="16"/>
              <w:szCs w:val="16"/>
            </w:rPr>
            <w:t>Agios Athanasios</w:t>
          </w:r>
        </w:p>
        <w:p w14:paraId="3EF4C754" w14:textId="3E34A422" w:rsidR="00514637" w:rsidRPr="002C11F4" w:rsidRDefault="00514637" w:rsidP="00514637">
          <w:pPr>
            <w:contextualSpacing/>
          </w:pPr>
          <w:r w:rsidRPr="00ED10E4">
            <w:rPr>
              <w:sz w:val="16"/>
              <w:szCs w:val="16"/>
            </w:rPr>
            <w:t>23</w:t>
          </w:r>
          <w:r w:rsidRPr="00514637">
            <w:rPr>
              <w:sz w:val="16"/>
              <w:szCs w:val="16"/>
              <w:vertAlign w:val="superscript"/>
              <w:lang w:val="el-GR"/>
            </w:rPr>
            <w:t>ο</w:t>
          </w:r>
          <w:r w:rsidRPr="00ED10E4">
            <w:rPr>
              <w:sz w:val="16"/>
              <w:szCs w:val="16"/>
            </w:rPr>
            <w:t xml:space="preserve"> </w:t>
          </w:r>
          <w:r w:rsidR="00ED10E4">
            <w:rPr>
              <w:sz w:val="16"/>
              <w:szCs w:val="16"/>
            </w:rPr>
            <w:t>Km</w:t>
          </w:r>
          <w:r w:rsidRPr="00ED10E4">
            <w:rPr>
              <w:sz w:val="16"/>
              <w:szCs w:val="16"/>
            </w:rPr>
            <w:t xml:space="preserve">. </w:t>
          </w:r>
          <w:r w:rsidR="002C11F4">
            <w:rPr>
              <w:sz w:val="16"/>
              <w:szCs w:val="16"/>
            </w:rPr>
            <w:t>Edessa-Thessaloniki motorway</w:t>
          </w:r>
        </w:p>
      </w:tc>
    </w:tr>
  </w:tbl>
  <w:p w14:paraId="314DE7CF" w14:textId="0DA9055D" w:rsidR="00832622" w:rsidRPr="00ED10E4" w:rsidRDefault="00832622">
    <w:pPr>
      <w:pStyle w:val="Header"/>
    </w:pPr>
  </w:p>
  <w:p w14:paraId="5F81F5C8" w14:textId="77777777" w:rsidR="00832622" w:rsidRPr="00ED10E4" w:rsidRDefault="008326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86698035">
    <w:abstractNumId w:val="8"/>
  </w:num>
  <w:num w:numId="2" w16cid:durableId="402264463">
    <w:abstractNumId w:val="6"/>
  </w:num>
  <w:num w:numId="3" w16cid:durableId="1744792027">
    <w:abstractNumId w:val="5"/>
  </w:num>
  <w:num w:numId="4" w16cid:durableId="1649092868">
    <w:abstractNumId w:val="4"/>
  </w:num>
  <w:num w:numId="5" w16cid:durableId="707995346">
    <w:abstractNumId w:val="7"/>
  </w:num>
  <w:num w:numId="6" w16cid:durableId="173615075">
    <w:abstractNumId w:val="3"/>
  </w:num>
  <w:num w:numId="7" w16cid:durableId="1610161975">
    <w:abstractNumId w:val="2"/>
  </w:num>
  <w:num w:numId="8" w16cid:durableId="1552573328">
    <w:abstractNumId w:val="1"/>
  </w:num>
  <w:num w:numId="9" w16cid:durableId="1955596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4536"/>
    <w:rsid w:val="0015074B"/>
    <w:rsid w:val="001D353E"/>
    <w:rsid w:val="0029639D"/>
    <w:rsid w:val="002C11F4"/>
    <w:rsid w:val="002C1F0F"/>
    <w:rsid w:val="00326F90"/>
    <w:rsid w:val="003952BC"/>
    <w:rsid w:val="003A1CDA"/>
    <w:rsid w:val="00514637"/>
    <w:rsid w:val="00653FEB"/>
    <w:rsid w:val="007129CA"/>
    <w:rsid w:val="00743B85"/>
    <w:rsid w:val="007F6E6F"/>
    <w:rsid w:val="0081417C"/>
    <w:rsid w:val="00823DF0"/>
    <w:rsid w:val="00832622"/>
    <w:rsid w:val="00866BA6"/>
    <w:rsid w:val="008B46BC"/>
    <w:rsid w:val="009C4044"/>
    <w:rsid w:val="00A538C5"/>
    <w:rsid w:val="00AA1D8D"/>
    <w:rsid w:val="00B01BC6"/>
    <w:rsid w:val="00B47730"/>
    <w:rsid w:val="00B63FBC"/>
    <w:rsid w:val="00C52EF3"/>
    <w:rsid w:val="00CB0664"/>
    <w:rsid w:val="00D85F56"/>
    <w:rsid w:val="00D9104B"/>
    <w:rsid w:val="00DC65EE"/>
    <w:rsid w:val="00E6196A"/>
    <w:rsid w:val="00ED10E4"/>
    <w:rsid w:val="00FC693F"/>
    <w:rsid w:val="00FE3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3D14451-2821-4C63-827A-E586F634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A038CEE58174E97C1CBE187F3CCAA" ma:contentTypeVersion="12" ma:contentTypeDescription="Create a new document." ma:contentTypeScope="" ma:versionID="4b8501b0152e9102a8f46c5a9232102c">
  <xsd:schema xmlns:xsd="http://www.w3.org/2001/XMLSchema" xmlns:xs="http://www.w3.org/2001/XMLSchema" xmlns:p="http://schemas.microsoft.com/office/2006/metadata/properties" xmlns:ns2="28239f7d-c698-4167-bc5c-248e2a25a780" xmlns:ns3="f980e52b-0825-4c93-88cb-a2f495c8dc21" targetNamespace="http://schemas.microsoft.com/office/2006/metadata/properties" ma:root="true" ma:fieldsID="ca2f2509d3e6bd5572d4cda54f4a3c32" ns2:_="" ns3:_="">
    <xsd:import namespace="28239f7d-c698-4167-bc5c-248e2a25a780"/>
    <xsd:import namespace="f980e52b-0825-4c93-88cb-a2f495c8dc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39f7d-c698-4167-bc5c-248e2a25a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d543a3-0f00-4936-8d62-1f454f50796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80e52b-0825-4c93-88cb-a2f495c8dc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656eaa-28b8-466d-9552-ca2a2ad84925}" ma:internalName="TaxCatchAll" ma:showField="CatchAllData" ma:web="f980e52b-0825-4c93-88cb-a2f495c8dc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80e52b-0825-4c93-88cb-a2f495c8dc21" xsi:nil="true"/>
    <lcf76f155ced4ddcb4097134ff3c332f xmlns="28239f7d-c698-4167-bc5c-248e2a25a7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A24CE-710D-4AD6-A30B-4F2916937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39f7d-c698-4167-bc5c-248e2a25a780"/>
    <ds:schemaRef ds:uri="f980e52b-0825-4c93-88cb-a2f495c8d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23C49-AF32-46D0-BBF0-D7F58DCA0951}">
  <ds:schemaRefs>
    <ds:schemaRef ds:uri="http://schemas.microsoft.com/office/2006/metadata/properties"/>
    <ds:schemaRef ds:uri="http://schemas.microsoft.com/office/infopath/2007/PartnerControls"/>
    <ds:schemaRef ds:uri="f980e52b-0825-4c93-88cb-a2f495c8dc21"/>
    <ds:schemaRef ds:uri="28239f7d-c698-4167-bc5c-248e2a25a780"/>
  </ds:schemaRefs>
</ds:datastoreItem>
</file>

<file path=customXml/itemProps3.xml><?xml version="1.0" encoding="utf-8"?>
<ds:datastoreItem xmlns:ds="http://schemas.openxmlformats.org/officeDocument/2006/customXml" ds:itemID="{778DB0AE-394A-46E1-B440-46DCFBF2487D}">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2587</Words>
  <Characters>13970</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Karamperidou Eirini</cp:lastModifiedBy>
  <cp:revision>23</cp:revision>
  <dcterms:created xsi:type="dcterms:W3CDTF">2013-12-23T23:15:00Z</dcterms:created>
  <dcterms:modified xsi:type="dcterms:W3CDTF">2026-01-26T14:19:00Z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0x0101005F8A038CEE58174E97C1CBE187F3CCAA</vt:lpwstr>
  </property>
  <property fmtid="{D5CDD505-2E9C-101B-9397-08002B2CF9AE}" pid="3" name="MediaServiceImageTags">
    <vt:lpwstr/>
  </property>
</Properties>
</file>